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1CDC" w:rsidRDefault="00734305">
      <w:bookmarkStart w:id="0" w:name="_heading=h.gjdgxs" w:colFirst="0" w:colLast="0"/>
      <w:bookmarkEnd w:id="0"/>
      <w:r>
        <w:rPr>
          <w:noProof/>
        </w:rPr>
        <w:drawing>
          <wp:anchor distT="0" distB="0" distL="114300" distR="114300" simplePos="0" relativeHeight="251658240" behindDoc="0" locked="0" layoutInCell="1" hidden="0" allowOverlap="1">
            <wp:simplePos x="0" y="0"/>
            <wp:positionH relativeFrom="column">
              <wp:posOffset>4</wp:posOffset>
            </wp:positionH>
            <wp:positionV relativeFrom="paragraph">
              <wp:posOffset>0</wp:posOffset>
            </wp:positionV>
            <wp:extent cx="1187450" cy="850900"/>
            <wp:effectExtent l="0" t="0" r="0" b="0"/>
            <wp:wrapSquare wrapText="bothSides" distT="0" distB="0" distL="114300" distR="114300"/>
            <wp:docPr id="7"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961CDC" w:rsidRDefault="00961CDC"/>
    <w:p w:rsidR="00961CDC" w:rsidRDefault="00961CDC"/>
    <w:p w:rsidR="00961CDC" w:rsidRDefault="00961CDC"/>
    <w:p w:rsidR="00961CDC" w:rsidRDefault="00734305">
      <w:r>
        <w:tab/>
      </w:r>
    </w:p>
    <w:p w:rsidR="00961CDC" w:rsidRDefault="00734305">
      <w:pPr>
        <w:jc w:val="center"/>
        <w:rPr>
          <w:color w:val="4F81BD"/>
          <w:sz w:val="56"/>
          <w:szCs w:val="56"/>
        </w:rPr>
      </w:pPr>
      <w:bookmarkStart w:id="1" w:name="_heading=h.30j0zll" w:colFirst="0" w:colLast="0"/>
      <w:bookmarkEnd w:id="1"/>
      <w:r>
        <w:rPr>
          <w:color w:val="4F81BD"/>
          <w:sz w:val="56"/>
          <w:szCs w:val="56"/>
        </w:rPr>
        <w:t>Buyer Needs</w:t>
      </w:r>
    </w:p>
    <w:p w:rsidR="00961CDC" w:rsidRDefault="00961CDC"/>
    <w:p w:rsidR="00961CDC" w:rsidRDefault="00734305">
      <w:pPr>
        <w:jc w:val="center"/>
        <w:rPr>
          <w:sz w:val="40"/>
          <w:szCs w:val="40"/>
        </w:rPr>
      </w:pPr>
      <w:r>
        <w:rPr>
          <w:sz w:val="40"/>
          <w:szCs w:val="40"/>
        </w:rPr>
        <w:t>RM6313 - Demand Management and Renewables Dynamic Purchasing System Agreement</w:t>
      </w:r>
    </w:p>
    <w:p w:rsidR="00961CDC" w:rsidRDefault="00961CDC"/>
    <w:p w:rsidR="00961CDC" w:rsidRDefault="00961CDC">
      <w:pPr>
        <w:jc w:val="center"/>
      </w:pPr>
    </w:p>
    <w:p w:rsidR="00961CDC" w:rsidRDefault="00734305">
      <w:pPr>
        <w:jc w:val="center"/>
      </w:pPr>
      <w:r>
        <w:rPr>
          <w:noProof/>
        </w:rPr>
        <w:drawing>
          <wp:inline distT="114300" distB="114300" distL="114300" distR="114300">
            <wp:extent cx="3729038" cy="1942207"/>
            <wp:effectExtent l="0" t="0" r="0" b="0"/>
            <wp:docPr id="6"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3729038" cy="1942207"/>
                    </a:xfrm>
                    <a:prstGeom prst="rect">
                      <a:avLst/>
                    </a:prstGeom>
                    <a:ln/>
                  </pic:spPr>
                </pic:pic>
              </a:graphicData>
            </a:graphic>
          </wp:inline>
        </w:drawing>
      </w:r>
    </w:p>
    <w:p w:rsidR="00961CDC" w:rsidRDefault="00961CDC"/>
    <w:p w:rsidR="00961CDC" w:rsidRDefault="00961CDC"/>
    <w:p w:rsidR="00961CDC" w:rsidRDefault="00734305">
      <w:r>
        <w:br w:type="page"/>
      </w:r>
    </w:p>
    <w:p w:rsidR="00961CDC" w:rsidRDefault="00734305">
      <w:pPr>
        <w:rPr>
          <w:b/>
        </w:rPr>
      </w:pPr>
      <w:r>
        <w:rPr>
          <w:b/>
        </w:rPr>
        <w:lastRenderedPageBreak/>
        <w:t>Contents</w:t>
      </w:r>
    </w:p>
    <w:p w:rsidR="00961CDC" w:rsidRDefault="00961CDC"/>
    <w:sdt>
      <w:sdtPr>
        <w:id w:val="-1419162161"/>
        <w:docPartObj>
          <w:docPartGallery w:val="Table of Contents"/>
          <w:docPartUnique/>
        </w:docPartObj>
      </w:sdtPr>
      <w:sdtEndPr/>
      <w:sdtContent>
        <w:p w:rsidR="00961CDC" w:rsidRDefault="00734305">
          <w:pPr>
            <w:pBdr>
              <w:top w:val="nil"/>
              <w:left w:val="nil"/>
              <w:bottom w:val="nil"/>
              <w:right w:val="nil"/>
              <w:between w:val="nil"/>
            </w:pBdr>
            <w:tabs>
              <w:tab w:val="left" w:pos="440"/>
              <w:tab w:val="right" w:pos="9350"/>
            </w:tabs>
            <w:spacing w:after="100"/>
            <w:rPr>
              <w:rFonts w:ascii="Cambria" w:eastAsia="Cambria" w:hAnsi="Cambria" w:cs="Cambria"/>
              <w:color w:val="000000"/>
              <w:sz w:val="22"/>
              <w:szCs w:val="22"/>
            </w:rPr>
          </w:pPr>
          <w:r>
            <w:fldChar w:fldCharType="begin"/>
          </w:r>
          <w:r>
            <w:instrText xml:space="preserve"> TOC \h \u \z </w:instrText>
          </w:r>
          <w:r>
            <w:fldChar w:fldCharType="separate"/>
          </w:r>
          <w:hyperlink w:anchor="_heading=h.3znysh7">
            <w:r>
              <w:rPr>
                <w:b/>
                <w:color w:val="000000"/>
              </w:rPr>
              <w:t>1.</w:t>
            </w:r>
          </w:hyperlink>
          <w:hyperlink w:anchor="_heading=h.3znysh7">
            <w:r>
              <w:rPr>
                <w:rFonts w:ascii="Cambria" w:eastAsia="Cambria" w:hAnsi="Cambria" w:cs="Cambria"/>
                <w:color w:val="000000"/>
                <w:sz w:val="22"/>
                <w:szCs w:val="22"/>
              </w:rPr>
              <w:tab/>
            </w:r>
          </w:hyperlink>
          <w:r>
            <w:fldChar w:fldCharType="begin"/>
          </w:r>
          <w:r>
            <w:instrText xml:space="preserve"> PAGEREF _heading=h.3znysh7 \h </w:instrText>
          </w:r>
          <w:r>
            <w:fldChar w:fldCharType="separate"/>
          </w:r>
          <w:r>
            <w:rPr>
              <w:b/>
              <w:color w:val="000000"/>
            </w:rPr>
            <w:t>Introduction</w:t>
          </w:r>
          <w:r>
            <w:rPr>
              <w:color w:val="000000"/>
            </w:rPr>
            <w:tab/>
            <w:t>3</w:t>
          </w:r>
          <w:r>
            <w:fldChar w:fldCharType="end"/>
          </w:r>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hyperlink w:anchor="_heading=h.2et92p0">
            <w:r>
              <w:rPr>
                <w:b/>
                <w:color w:val="000000"/>
              </w:rPr>
              <w:t xml:space="preserve">1.1 </w:t>
            </w:r>
          </w:hyperlink>
          <w:hyperlink w:anchor="_heading=h.2et92p0">
            <w:r>
              <w:rPr>
                <w:rFonts w:ascii="Cambria" w:eastAsia="Cambria" w:hAnsi="Cambria" w:cs="Cambria"/>
                <w:color w:val="000000"/>
                <w:sz w:val="22"/>
                <w:szCs w:val="22"/>
              </w:rPr>
              <w:tab/>
            </w:r>
          </w:hyperlink>
          <w:r>
            <w:fldChar w:fldCharType="begin"/>
          </w:r>
          <w:r>
            <w:instrText xml:space="preserve"> PAGEREF _heading=h.2et92p0 \h </w:instrText>
          </w:r>
          <w:r>
            <w:fldChar w:fldCharType="separate"/>
          </w:r>
          <w:r>
            <w:rPr>
              <w:b/>
            </w:rPr>
            <w:t xml:space="preserve">Buyer </w:t>
          </w:r>
          <w:r>
            <w:rPr>
              <w:b/>
              <w:color w:val="000000"/>
            </w:rPr>
            <w:t>Needs Statement</w:t>
          </w:r>
          <w:r>
            <w:rPr>
              <w:color w:val="000000"/>
            </w:rPr>
            <w:tab/>
            <w:t>3</w:t>
          </w:r>
          <w:r>
            <w:fldChar w:fldCharType="end"/>
          </w:r>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r>
            <w:rPr>
              <w:b/>
              <w:color w:val="000000"/>
            </w:rPr>
            <w:t xml:space="preserve">1.2  </w:t>
          </w:r>
          <w:hyperlink w:anchor="_heading=h.tyjcwt">
            <w:r>
              <w:rPr>
                <w:b/>
                <w:color w:val="000000"/>
              </w:rPr>
              <w:t>The Opportunity</w:t>
            </w:r>
          </w:hyperlink>
          <w:hyperlink w:anchor="_heading=h.tyjcwt">
            <w:r>
              <w:rPr>
                <w:color w:val="000000"/>
              </w:rPr>
              <w:tab/>
              <w:t>3</w:t>
            </w:r>
          </w:hyperlink>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hyperlink w:anchor="_heading=h.3dy6vkm">
            <w:r>
              <w:rPr>
                <w:b/>
                <w:color w:val="000000"/>
              </w:rPr>
              <w:t xml:space="preserve">1.3 </w:t>
            </w:r>
          </w:hyperlink>
          <w:hyperlink w:anchor="_heading=h.3dy6vkm">
            <w:r>
              <w:rPr>
                <w:rFonts w:ascii="Cambria" w:eastAsia="Cambria" w:hAnsi="Cambria" w:cs="Cambria"/>
                <w:color w:val="000000"/>
                <w:sz w:val="22"/>
                <w:szCs w:val="22"/>
              </w:rPr>
              <w:tab/>
            </w:r>
          </w:hyperlink>
          <w:r>
            <w:fldChar w:fldCharType="begin"/>
          </w:r>
          <w:r>
            <w:instrText xml:space="preserve"> PAGEREF _heading=h.3dy6vkm \h </w:instrText>
          </w:r>
          <w:r>
            <w:fldChar w:fldCharType="separate"/>
          </w:r>
          <w:r>
            <w:rPr>
              <w:b/>
              <w:color w:val="000000"/>
            </w:rPr>
            <w:t>The current situation</w:t>
          </w:r>
          <w:r>
            <w:rPr>
              <w:color w:val="000000"/>
            </w:rPr>
            <w:tab/>
            <w:t>6</w:t>
          </w:r>
          <w:r>
            <w:fldChar w:fldCharType="end"/>
          </w:r>
        </w:p>
        <w:p w:rsidR="00961CDC" w:rsidRDefault="00734305">
          <w:pPr>
            <w:pBdr>
              <w:top w:val="nil"/>
              <w:left w:val="nil"/>
              <w:bottom w:val="nil"/>
              <w:right w:val="nil"/>
              <w:between w:val="nil"/>
            </w:pBdr>
            <w:tabs>
              <w:tab w:val="left" w:pos="440"/>
              <w:tab w:val="right" w:pos="9350"/>
            </w:tabs>
            <w:spacing w:after="100"/>
            <w:rPr>
              <w:rFonts w:ascii="Cambria" w:eastAsia="Cambria" w:hAnsi="Cambria" w:cs="Cambria"/>
              <w:color w:val="000000"/>
              <w:sz w:val="22"/>
              <w:szCs w:val="22"/>
            </w:rPr>
          </w:pPr>
          <w:hyperlink w:anchor="_heading=h.1t3h5sf">
            <w:r>
              <w:rPr>
                <w:b/>
                <w:color w:val="000000"/>
              </w:rPr>
              <w:t>2.</w:t>
            </w:r>
          </w:hyperlink>
          <w:hyperlink w:anchor="_heading=h.1t3h5sf">
            <w:r>
              <w:rPr>
                <w:rFonts w:ascii="Cambria" w:eastAsia="Cambria" w:hAnsi="Cambria" w:cs="Cambria"/>
                <w:color w:val="000000"/>
                <w:sz w:val="22"/>
                <w:szCs w:val="22"/>
              </w:rPr>
              <w:tab/>
            </w:r>
          </w:hyperlink>
          <w:r>
            <w:fldChar w:fldCharType="begin"/>
          </w:r>
          <w:r>
            <w:instrText xml:space="preserve"> PAGEREF _heading=h.1t3h5sf \h </w:instrText>
          </w:r>
          <w:r>
            <w:fldChar w:fldCharType="separate"/>
          </w:r>
          <w:r>
            <w:rPr>
              <w:b/>
              <w:color w:val="000000"/>
            </w:rPr>
            <w:t>Specification (Schedule 2 Part A Goods and/or Services)</w:t>
          </w:r>
          <w:r>
            <w:rPr>
              <w:color w:val="000000"/>
            </w:rPr>
            <w:tab/>
            <w:t>7</w:t>
          </w:r>
          <w:r>
            <w:fldChar w:fldCharType="end"/>
          </w:r>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hyperlink w:anchor="_heading=h.4d34og8">
            <w:r>
              <w:rPr>
                <w:b/>
                <w:color w:val="000000"/>
              </w:rPr>
              <w:t xml:space="preserve">2.1 </w:t>
            </w:r>
          </w:hyperlink>
          <w:hyperlink w:anchor="_heading=h.4d34og8">
            <w:r>
              <w:rPr>
                <w:rFonts w:ascii="Cambria" w:eastAsia="Cambria" w:hAnsi="Cambria" w:cs="Cambria"/>
                <w:color w:val="000000"/>
                <w:sz w:val="22"/>
                <w:szCs w:val="22"/>
              </w:rPr>
              <w:tab/>
            </w:r>
          </w:hyperlink>
          <w:r>
            <w:fldChar w:fldCharType="begin"/>
          </w:r>
          <w:r>
            <w:instrText xml:space="preserve"> PAGEREF _heading=h.4d34og8 \h </w:instrText>
          </w:r>
          <w:r>
            <w:fldChar w:fldCharType="separate"/>
          </w:r>
          <w:r>
            <w:rPr>
              <w:b/>
              <w:color w:val="000000"/>
            </w:rPr>
            <w:t>Our prio</w:t>
          </w:r>
          <w:r>
            <w:rPr>
              <w:b/>
              <w:color w:val="000000"/>
            </w:rPr>
            <w:t>rities</w:t>
          </w:r>
          <w:r>
            <w:rPr>
              <w:color w:val="000000"/>
            </w:rPr>
            <w:tab/>
            <w:t>7</w:t>
          </w:r>
          <w:r>
            <w:fldChar w:fldCharType="end"/>
          </w:r>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hyperlink w:anchor="_heading=h.2s8eyo1">
            <w:r>
              <w:rPr>
                <w:b/>
                <w:color w:val="000000"/>
              </w:rPr>
              <w:t xml:space="preserve">2.2 </w:t>
            </w:r>
          </w:hyperlink>
          <w:hyperlink w:anchor="_heading=h.2s8eyo1">
            <w:r>
              <w:rPr>
                <w:rFonts w:ascii="Cambria" w:eastAsia="Cambria" w:hAnsi="Cambria" w:cs="Cambria"/>
                <w:color w:val="000000"/>
                <w:sz w:val="22"/>
                <w:szCs w:val="22"/>
              </w:rPr>
              <w:tab/>
            </w:r>
          </w:hyperlink>
          <w:r>
            <w:fldChar w:fldCharType="begin"/>
          </w:r>
          <w:r>
            <w:instrText xml:space="preserve"> PAGEREF _heading=h.2s8eyo1 \h </w:instrText>
          </w:r>
          <w:r>
            <w:fldChar w:fldCharType="separate"/>
          </w:r>
          <w:r>
            <w:rPr>
              <w:b/>
              <w:color w:val="000000"/>
            </w:rPr>
            <w:t>Scope</w:t>
          </w:r>
          <w:r>
            <w:rPr>
              <w:color w:val="000000"/>
            </w:rPr>
            <w:tab/>
            <w:t>7</w:t>
          </w:r>
          <w:r>
            <w:fldChar w:fldCharType="end"/>
          </w:r>
        </w:p>
        <w:p w:rsidR="00961CDC" w:rsidRDefault="00734305">
          <w:pPr>
            <w:pBdr>
              <w:top w:val="nil"/>
              <w:left w:val="nil"/>
              <w:bottom w:val="nil"/>
              <w:right w:val="nil"/>
              <w:between w:val="nil"/>
            </w:pBdr>
            <w:tabs>
              <w:tab w:val="left" w:pos="426"/>
              <w:tab w:val="right" w:pos="9350"/>
            </w:tabs>
            <w:spacing w:after="100"/>
            <w:rPr>
              <w:rFonts w:ascii="Cambria" w:eastAsia="Cambria" w:hAnsi="Cambria" w:cs="Cambria"/>
              <w:color w:val="000000"/>
              <w:sz w:val="22"/>
              <w:szCs w:val="22"/>
            </w:rPr>
          </w:pPr>
          <w:hyperlink w:anchor="_heading=h.3rdcrjn">
            <w:r>
              <w:rPr>
                <w:b/>
                <w:color w:val="000000"/>
              </w:rPr>
              <w:t>3.</w:t>
            </w:r>
          </w:hyperlink>
          <w:hyperlink w:anchor="_heading=h.3rdcrjn">
            <w:r>
              <w:rPr>
                <w:rFonts w:ascii="Cambria" w:eastAsia="Cambria" w:hAnsi="Cambria" w:cs="Cambria"/>
                <w:color w:val="000000"/>
                <w:sz w:val="22"/>
                <w:szCs w:val="22"/>
              </w:rPr>
              <w:tab/>
            </w:r>
          </w:hyperlink>
          <w:r>
            <w:fldChar w:fldCharType="begin"/>
          </w:r>
          <w:r>
            <w:instrText xml:space="preserve"> PAGEREF _heading=h.3rdcrjn \h </w:instrText>
          </w:r>
          <w:r>
            <w:fldChar w:fldCharType="separate"/>
          </w:r>
          <w:r>
            <w:rPr>
              <w:b/>
              <w:color w:val="000000"/>
            </w:rPr>
            <w:t>Mandatory Service Requirements:</w:t>
          </w:r>
          <w:r>
            <w:rPr>
              <w:color w:val="000000"/>
            </w:rPr>
            <w:tab/>
            <w:t>7</w:t>
          </w:r>
          <w:r>
            <w:fldChar w:fldCharType="end"/>
          </w:r>
        </w:p>
        <w:p w:rsidR="00961CDC" w:rsidRDefault="00734305">
          <w:r>
            <w:fldChar w:fldCharType="end"/>
          </w:r>
        </w:p>
      </w:sdtContent>
    </w:sdt>
    <w:p w:rsidR="00961CDC" w:rsidRDefault="00961CDC">
      <w:bookmarkStart w:id="2" w:name="_heading=h.1fob9te" w:colFirst="0" w:colLast="0"/>
      <w:bookmarkEnd w:id="2"/>
    </w:p>
    <w:p w:rsidR="00961CDC" w:rsidRDefault="00961CDC"/>
    <w:p w:rsidR="00961CDC" w:rsidRDefault="00961CDC"/>
    <w:p w:rsidR="00961CDC" w:rsidRDefault="00961CDC"/>
    <w:p w:rsidR="00961CDC" w:rsidRDefault="00734305">
      <w:r>
        <w:tab/>
      </w:r>
    </w:p>
    <w:p w:rsidR="00961CDC" w:rsidRDefault="00961CDC"/>
    <w:p w:rsidR="00961CDC" w:rsidRDefault="00961CDC"/>
    <w:p w:rsidR="00961CDC" w:rsidRDefault="00961CDC"/>
    <w:p w:rsidR="00961CDC" w:rsidRDefault="00961CDC"/>
    <w:p w:rsidR="00961CDC" w:rsidRDefault="00961CDC"/>
    <w:p w:rsidR="00961CDC" w:rsidRDefault="00961CDC"/>
    <w:p w:rsidR="00961CDC" w:rsidRDefault="00734305">
      <w:r>
        <w:br w:type="page"/>
      </w:r>
    </w:p>
    <w:p w:rsidR="00961CDC" w:rsidRDefault="00734305">
      <w:pPr>
        <w:pStyle w:val="Heading1"/>
        <w:numPr>
          <w:ilvl w:val="0"/>
          <w:numId w:val="5"/>
        </w:numPr>
        <w:ind w:left="851" w:hanging="851"/>
        <w:rPr>
          <w:b/>
          <w:color w:val="000000"/>
        </w:rPr>
      </w:pPr>
      <w:bookmarkStart w:id="3" w:name="_heading=h.3znysh7" w:colFirst="0" w:colLast="0"/>
      <w:bookmarkEnd w:id="3"/>
      <w:r>
        <w:rPr>
          <w:b/>
          <w:color w:val="000000"/>
        </w:rPr>
        <w:lastRenderedPageBreak/>
        <w:t>Introduction</w:t>
      </w:r>
    </w:p>
    <w:p w:rsidR="00961CDC" w:rsidRDefault="00734305">
      <w:pPr>
        <w:pStyle w:val="Heading2"/>
        <w:ind w:left="851" w:hanging="851"/>
        <w:rPr>
          <w:b/>
          <w:color w:val="000000"/>
        </w:rPr>
      </w:pPr>
      <w:bookmarkStart w:id="4" w:name="_heading=h.2et92p0" w:colFirst="0" w:colLast="0"/>
      <w:bookmarkEnd w:id="4"/>
      <w:r>
        <w:rPr>
          <w:b/>
          <w:color w:val="000000"/>
        </w:rPr>
        <w:t xml:space="preserve">1.1 </w:t>
      </w:r>
      <w:r>
        <w:rPr>
          <w:b/>
          <w:color w:val="000000"/>
        </w:rPr>
        <w:tab/>
        <w:t>Buyer Needs Statement</w:t>
      </w:r>
    </w:p>
    <w:p w:rsidR="00961CDC" w:rsidRDefault="00734305">
      <w:pPr>
        <w:spacing w:before="120" w:after="120" w:line="240" w:lineRule="auto"/>
        <w:ind w:hanging="1"/>
        <w:jc w:val="both"/>
      </w:pPr>
      <w:r>
        <w:t>Crown Commercial Service (CCS) is seeking to establish a Dynamic Purchasing Agreement (DPS) for the provision of demand management and renewable projects</w:t>
      </w:r>
      <w:r>
        <w:t xml:space="preserve"> for all UK central government departments, wider public sector organisations and charities as listed in the Find a Tender Notice for RM6313 – Demand Management and Renewables DPS.</w:t>
      </w:r>
    </w:p>
    <w:p w:rsidR="00961CDC" w:rsidRDefault="00734305">
      <w:pPr>
        <w:spacing w:before="120" w:after="120" w:line="240" w:lineRule="auto"/>
        <w:ind w:hanging="1"/>
        <w:jc w:val="both"/>
      </w:pPr>
      <w:r>
        <w:t>This RM6313 – Demand Management and Renewables DPS Agreement will be manage</w:t>
      </w:r>
      <w:r>
        <w:t>d by CCS and any contract(s) awarded under this DPS Agreement will be managed by individual Buyers (Customers).</w:t>
      </w:r>
    </w:p>
    <w:p w:rsidR="00961CDC" w:rsidRDefault="00734305">
      <w:pPr>
        <w:spacing w:before="120" w:after="120" w:line="240" w:lineRule="auto"/>
        <w:ind w:hanging="1"/>
        <w:jc w:val="both"/>
      </w:pPr>
      <w:r>
        <w:t>The intended duration period of the RM6313 DPS Agreement is for four years (48 months). In the event that the RM6313 DPS Agreement is terminated, CCS shall give the Supplier no less than three (3) Months written notice. CCS acknowledges that the RM6313 DPS</w:t>
      </w:r>
      <w:r>
        <w:t xml:space="preserve"> Agreement will not be terminated within the initial first two (2) months from the commencement date.</w:t>
      </w:r>
    </w:p>
    <w:p w:rsidR="00961CDC" w:rsidRDefault="00734305">
      <w:pPr>
        <w:spacing w:before="120" w:after="120" w:line="240" w:lineRule="auto"/>
        <w:ind w:hanging="1"/>
        <w:jc w:val="both"/>
      </w:pPr>
      <w:r>
        <w:t xml:space="preserve">Buyers may enter into a contract with you for a period of them determining, which may exceed the duration of the RM6313 DPS Agreement. Where the Contract </w:t>
      </w:r>
      <w:r>
        <w:t>Initial Period is less than sixty (60) months a Buyer may elect to extend. The Buyer should determine the appropriate extension period based on the industry and their organisations procurement standards.</w:t>
      </w:r>
    </w:p>
    <w:p w:rsidR="00961CDC" w:rsidRDefault="00734305">
      <w:pPr>
        <w:spacing w:before="120" w:after="120" w:line="240" w:lineRule="auto"/>
        <w:ind w:hanging="1"/>
        <w:jc w:val="both"/>
      </w:pPr>
      <w:r>
        <w:t>The flexibility of the contracting period allows the</w:t>
      </w:r>
      <w:r>
        <w:t xml:space="preserve"> Buyer to determine appropriate contracting timelines required in order that the supplier can meet the needs of the Buyer for large and complex projects. </w:t>
      </w:r>
    </w:p>
    <w:p w:rsidR="00961CDC" w:rsidRDefault="00734305">
      <w:pPr>
        <w:pStyle w:val="Heading2"/>
        <w:ind w:left="851" w:hanging="851"/>
        <w:rPr>
          <w:b/>
          <w:color w:val="000000"/>
        </w:rPr>
      </w:pPr>
      <w:bookmarkStart w:id="5" w:name="_heading=h.tyjcwt" w:colFirst="0" w:colLast="0"/>
      <w:bookmarkEnd w:id="5"/>
      <w:r>
        <w:rPr>
          <w:b/>
          <w:color w:val="000000"/>
        </w:rPr>
        <w:t xml:space="preserve">1.2 </w:t>
      </w:r>
      <w:r>
        <w:rPr>
          <w:b/>
          <w:color w:val="000000"/>
        </w:rPr>
        <w:tab/>
        <w:t>The Opportunity</w:t>
      </w:r>
    </w:p>
    <w:p w:rsidR="00961CDC" w:rsidRDefault="00734305">
      <w:pPr>
        <w:spacing w:before="120" w:after="120" w:line="240" w:lineRule="auto"/>
        <w:ind w:hanging="1"/>
        <w:jc w:val="both"/>
      </w:pPr>
      <w:r>
        <w:t>The RM6313 – Demand Management and Renewables DPS Agreement will provide central</w:t>
      </w:r>
      <w:r>
        <w:t xml:space="preserve"> government and wider public sector departments with the opportunity to procure an extensive range of wider energy renewable and demand management goods and services via a comprehensive number of suppliers.</w:t>
      </w:r>
    </w:p>
    <w:p w:rsidR="00961CDC" w:rsidRDefault="00734305">
      <w:pPr>
        <w:spacing w:before="120" w:after="120" w:line="240" w:lineRule="auto"/>
        <w:ind w:hanging="1"/>
        <w:jc w:val="both"/>
      </w:pPr>
      <w:r>
        <w:t>Upon application to join the RM6313 DPS Agreement</w:t>
      </w:r>
      <w:r>
        <w:t xml:space="preserve">, bidders are required to indicate which categories and services they are able to bid for. It is therefore essential that bidders select the exact elements relevant to their service offering in order to be invited to the relevant competitions. </w:t>
      </w:r>
    </w:p>
    <w:p w:rsidR="00961CDC" w:rsidRDefault="00734305">
      <w:pPr>
        <w:spacing w:before="120" w:after="120" w:line="240" w:lineRule="auto"/>
        <w:ind w:hanging="1"/>
        <w:jc w:val="both"/>
      </w:pPr>
      <w:r>
        <w:t>Buyers will</w:t>
      </w:r>
      <w:r>
        <w:t xml:space="preserve"> use the product and service element filters as detailed in Attachment 1 – Demand Management and Renewables Product and Services Matrix, to short list appointed suppliers offering their service requirements and invite to competition. </w:t>
      </w:r>
    </w:p>
    <w:p w:rsidR="00961CDC" w:rsidRDefault="00734305">
      <w:pPr>
        <w:spacing w:before="120" w:after="120" w:line="240" w:lineRule="auto"/>
        <w:ind w:left="851" w:hanging="851"/>
        <w:jc w:val="both"/>
        <w:rPr>
          <w:b/>
        </w:rPr>
      </w:pPr>
      <w:r>
        <w:rPr>
          <w:b/>
        </w:rPr>
        <w:t>What is a Dynamic Pur</w:t>
      </w:r>
      <w:r>
        <w:rPr>
          <w:b/>
        </w:rPr>
        <w:t>chasing System (DPS)?</w:t>
      </w:r>
    </w:p>
    <w:p w:rsidR="00961CDC" w:rsidRDefault="00734305">
      <w:pPr>
        <w:spacing w:before="120" w:after="120" w:line="240" w:lineRule="auto"/>
        <w:ind w:hanging="1"/>
        <w:jc w:val="both"/>
      </w:pPr>
      <w:r>
        <w:t xml:space="preserve">A DPS is a public sector sourcing tool for common goods and services under regulation 34 (Dynamic Purchasing Systems) of the </w:t>
      </w:r>
      <w:hyperlink r:id="rId10">
        <w:r>
          <w:rPr>
            <w:color w:val="0000FF"/>
            <w:u w:val="single"/>
          </w:rPr>
          <w:t>PCR 2015</w:t>
        </w:r>
      </w:hyperlink>
      <w:r>
        <w:t>. Bidders can apply to j</w:t>
      </w:r>
      <w:r>
        <w:t xml:space="preserve">oin at any </w:t>
      </w:r>
      <w:r>
        <w:lastRenderedPageBreak/>
        <w:t>point and don’t require any special IT equipment as a DPS eliminates unnecessary activity for the bidder, up front:</w:t>
      </w:r>
    </w:p>
    <w:p w:rsidR="00961CDC" w:rsidRDefault="00961CDC"/>
    <w:p w:rsidR="00961CDC" w:rsidRDefault="00734305">
      <w:r>
        <w:rPr>
          <w:noProof/>
        </w:rPr>
        <mc:AlternateContent>
          <mc:Choice Requires="wpg">
            <w:drawing>
              <wp:inline distT="0" distB="0" distL="0" distR="0">
                <wp:extent cx="4908550" cy="3629660"/>
                <wp:effectExtent l="0" t="0" r="0" b="0"/>
                <wp:docPr id="5" name="Group 5"/>
                <wp:cNvGraphicFramePr/>
                <a:graphic xmlns:a="http://schemas.openxmlformats.org/drawingml/2006/main">
                  <a:graphicData uri="http://schemas.microsoft.com/office/word/2010/wordprocessingGroup">
                    <wpg:wgp>
                      <wpg:cNvGrpSpPr/>
                      <wpg:grpSpPr>
                        <a:xfrm>
                          <a:off x="0" y="0"/>
                          <a:ext cx="4908550" cy="3629660"/>
                          <a:chOff x="2891725" y="1965170"/>
                          <a:chExt cx="4908550" cy="3629660"/>
                        </a:xfrm>
                      </wpg:grpSpPr>
                      <wpg:grpSp>
                        <wpg:cNvPr id="1" name="Group 1"/>
                        <wpg:cNvGrpSpPr/>
                        <wpg:grpSpPr>
                          <a:xfrm>
                            <a:off x="2891725" y="1965170"/>
                            <a:ext cx="4908550" cy="3629660"/>
                            <a:chOff x="2891725" y="1965170"/>
                            <a:chExt cx="4908550" cy="3629660"/>
                          </a:xfrm>
                        </wpg:grpSpPr>
                        <wps:wsp>
                          <wps:cNvPr id="2" name="Rectangle 2"/>
                          <wps:cNvSpPr/>
                          <wps:spPr>
                            <a:xfrm>
                              <a:off x="2891725" y="1965170"/>
                              <a:ext cx="4908550" cy="3629650"/>
                            </a:xfrm>
                            <a:prstGeom prst="rect">
                              <a:avLst/>
                            </a:prstGeom>
                            <a:noFill/>
                            <a:ln>
                              <a:noFill/>
                            </a:ln>
                          </wps:spPr>
                          <wps:txbx>
                            <w:txbxContent>
                              <w:p w:rsidR="00961CDC" w:rsidRDefault="00961CDC">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891725" y="1965170"/>
                              <a:ext cx="4908550" cy="3629660"/>
                              <a:chOff x="2891725" y="1965170"/>
                              <a:chExt cx="4908550" cy="3629660"/>
                            </a:xfrm>
                          </wpg:grpSpPr>
                          <wps:wsp>
                            <wps:cNvPr id="4" name="Rectangle 4"/>
                            <wps:cNvSpPr/>
                            <wps:spPr>
                              <a:xfrm>
                                <a:off x="2891725" y="1965170"/>
                                <a:ext cx="4908550" cy="3629650"/>
                              </a:xfrm>
                              <a:prstGeom prst="rect">
                                <a:avLst/>
                              </a:prstGeom>
                              <a:noFill/>
                              <a:ln>
                                <a:noFill/>
                              </a:ln>
                            </wps:spPr>
                            <wps:txbx>
                              <w:txbxContent>
                                <w:p w:rsidR="00961CDC" w:rsidRDefault="00961CDC">
                                  <w:pPr>
                                    <w:spacing w:after="0" w:line="240" w:lineRule="auto"/>
                                    <w:textDirection w:val="btLr"/>
                                  </w:pPr>
                                </w:p>
                              </w:txbxContent>
                            </wps:txbx>
                            <wps:bodyPr spcFirstLastPara="1" wrap="square" lIns="91425" tIns="91425" rIns="91425" bIns="91425" anchor="ctr" anchorCtr="0">
                              <a:noAutofit/>
                            </wps:bodyPr>
                          </wps:wsp>
                          <wpg:grpSp>
                            <wpg:cNvPr id="8" name="Group 8"/>
                            <wpg:cNvGrpSpPr/>
                            <wpg:grpSpPr>
                              <a:xfrm>
                                <a:off x="2891725" y="1965170"/>
                                <a:ext cx="4908550" cy="3629660"/>
                                <a:chOff x="-88016" y="0"/>
                                <a:chExt cx="5669666" cy="4467860"/>
                              </a:xfrm>
                            </wpg:grpSpPr>
                            <wps:wsp>
                              <wps:cNvPr id="9" name="Rectangle 9"/>
                              <wps:cNvSpPr/>
                              <wps:spPr>
                                <a:xfrm>
                                  <a:off x="-88016" y="0"/>
                                  <a:ext cx="5669650" cy="4467850"/>
                                </a:xfrm>
                                <a:prstGeom prst="rect">
                                  <a:avLst/>
                                </a:prstGeom>
                                <a:noFill/>
                                <a:ln>
                                  <a:noFill/>
                                </a:ln>
                              </wps:spPr>
                              <wps:txbx>
                                <w:txbxContent>
                                  <w:p w:rsidR="00961CDC" w:rsidRDefault="00961CDC">
                                    <w:pPr>
                                      <w:spacing w:after="0" w:line="240" w:lineRule="auto"/>
                                      <w:textDirection w:val="btLr"/>
                                    </w:pPr>
                                  </w:p>
                                </w:txbxContent>
                              </wps:txbx>
                              <wps:bodyPr spcFirstLastPara="1" wrap="square" lIns="91425" tIns="91425" rIns="91425" bIns="91425" anchor="ctr" anchorCtr="0">
                                <a:noAutofit/>
                              </wps:bodyPr>
                            </wps:wsp>
                            <wps:wsp>
                              <wps:cNvPr id="10" name="Rectangle: Rounded Corners 10"/>
                              <wps:cNvSpPr/>
                              <wps:spPr>
                                <a:xfrm>
                                  <a:off x="19050" y="0"/>
                                  <a:ext cx="5551170" cy="360000"/>
                                </a:xfrm>
                                <a:prstGeom prst="roundRect">
                                  <a:avLst>
                                    <a:gd name="adj" fmla="val 16667"/>
                                  </a:avLst>
                                </a:prstGeom>
                                <a:solidFill>
                                  <a:srgbClr val="757070"/>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b/>
                                        <w:color w:val="000000"/>
                                        <w:sz w:val="18"/>
                                      </w:rPr>
                                      <w:t>CCS Dynamic Purchasing System (DPS)</w:t>
                                    </w:r>
                                  </w:p>
                                </w:txbxContent>
                              </wps:txbx>
                              <wps:bodyPr spcFirstLastPara="1" wrap="square" lIns="91425" tIns="45700" rIns="91425" bIns="45700" anchor="ctr" anchorCtr="0">
                                <a:noAutofit/>
                              </wps:bodyPr>
                            </wps:wsp>
                            <wps:wsp>
                              <wps:cNvPr id="11" name="Rectangle: Rounded Corners 11"/>
                              <wps:cNvSpPr/>
                              <wps:spPr>
                                <a:xfrm>
                                  <a:off x="1009650" y="406400"/>
                                  <a:ext cx="4560570" cy="360000"/>
                                </a:xfrm>
                                <a:prstGeom prst="roundRect">
                                  <a:avLst>
                                    <a:gd name="adj" fmla="val 16667"/>
                                  </a:avLst>
                                </a:prstGeom>
                                <a:solidFill>
                                  <a:srgbClr val="C4E0B2"/>
                                </a:solidFill>
                                <a:ln w="12700" cap="flat" cmpd="sng">
                                  <a:solidFill>
                                    <a:srgbClr val="42719B"/>
                                  </a:solidFill>
                                  <a:prstDash val="solid"/>
                                  <a:miter lim="800000"/>
                                  <a:headEnd type="none" w="sm" len="sm"/>
                                  <a:tailEnd type="none" w="sm" len="sm"/>
                                </a:ln>
                              </wps:spPr>
                              <wps:txbx>
                                <w:txbxContent>
                                  <w:p w:rsidR="00961CDC" w:rsidRDefault="0008135F">
                                    <w:pPr>
                                      <w:spacing w:line="258" w:lineRule="auto"/>
                                      <w:jc w:val="center"/>
                                      <w:textDirection w:val="btLr"/>
                                    </w:pPr>
                                    <w:r>
                                      <w:rPr>
                                        <w:color w:val="000000"/>
                                        <w:sz w:val="18"/>
                                      </w:rPr>
                                      <w:t xml:space="preserve">RM6313 DMR - </w:t>
                                    </w:r>
                                    <w:r w:rsidR="00734305">
                                      <w:rPr>
                                        <w:color w:val="000000"/>
                                        <w:sz w:val="18"/>
                                      </w:rPr>
                                      <w:t>Compliance achieved</w:t>
                                    </w:r>
                                  </w:p>
                                </w:txbxContent>
                              </wps:txbx>
                              <wps:bodyPr spcFirstLastPara="1" wrap="square" lIns="91425" tIns="45700" rIns="91425" bIns="45700" anchor="ctr" anchorCtr="0">
                                <a:noAutofit/>
                              </wps:bodyPr>
                            </wps:wsp>
                            <wps:wsp>
                              <wps:cNvPr id="12" name="Rectangle: Rounded Corners 12"/>
                              <wps:cNvSpPr/>
                              <wps:spPr>
                                <a:xfrm>
                                  <a:off x="12700" y="406400"/>
                                  <a:ext cx="935990" cy="2032000"/>
                                </a:xfrm>
                                <a:prstGeom prst="roundRect">
                                  <a:avLst>
                                    <a:gd name="adj" fmla="val 16667"/>
                                  </a:avLst>
                                </a:prstGeom>
                                <a:solidFill>
                                  <a:srgbClr val="2E75B5"/>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 xml:space="preserve">Multiple Suppliers </w:t>
                                    </w:r>
                                  </w:p>
                                </w:txbxContent>
                              </wps:txbx>
                              <wps:bodyPr spcFirstLastPara="1" wrap="square" lIns="91425" tIns="45700" rIns="91425" bIns="45700" anchor="ctr" anchorCtr="0">
                                <a:noAutofit/>
                              </wps:bodyPr>
                            </wps:wsp>
                            <wps:wsp>
                              <wps:cNvPr id="13" name="Rectangle: Rounded Corners 13"/>
                              <wps:cNvSpPr/>
                              <wps:spPr>
                                <a:xfrm>
                                  <a:off x="2330450" y="825500"/>
                                  <a:ext cx="3240000" cy="382135"/>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 xml:space="preserve">Suppliers can apply to join DPS at any point </w:t>
                                    </w:r>
                                  </w:p>
                                </w:txbxContent>
                              </wps:txbx>
                              <wps:bodyPr spcFirstLastPara="1" wrap="square" lIns="91425" tIns="45700" rIns="91425" bIns="45700" anchor="ctr" anchorCtr="0">
                                <a:noAutofit/>
                              </wps:bodyPr>
                            </wps:wsp>
                            <wps:wsp>
                              <wps:cNvPr id="14" name="Rectangle: Rounded Corners 14"/>
                              <wps:cNvSpPr/>
                              <wps:spPr>
                                <a:xfrm>
                                  <a:off x="2330450" y="164465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DPS Agreement Terms &amp; Conditions accepted</w:t>
                                    </w:r>
                                  </w:p>
                                </w:txbxContent>
                              </wps:txbx>
                              <wps:bodyPr spcFirstLastPara="1" wrap="square" lIns="91425" tIns="45700" rIns="91425" bIns="45700" anchor="ctr" anchorCtr="0">
                                <a:noAutofit/>
                              </wps:bodyPr>
                            </wps:wsp>
                            <wps:wsp>
                              <wps:cNvPr id="15" name="Rectangle: Rounded Corners 15"/>
                              <wps:cNvSpPr/>
                              <wps:spPr>
                                <a:xfrm>
                                  <a:off x="-88016" y="2889250"/>
                                  <a:ext cx="1024005" cy="1578610"/>
                                </a:xfrm>
                                <a:prstGeom prst="roundRect">
                                  <a:avLst>
                                    <a:gd name="adj" fmla="val 16667"/>
                                  </a:avLst>
                                </a:prstGeom>
                                <a:solidFill>
                                  <a:srgbClr val="C55A11"/>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Multiple Customers</w:t>
                                    </w:r>
                                  </w:p>
                                </w:txbxContent>
                              </wps:txbx>
                              <wps:bodyPr spcFirstLastPara="1" wrap="square" lIns="91425" tIns="45700" rIns="91425" bIns="45700" anchor="ctr" anchorCtr="0">
                                <a:noAutofit/>
                              </wps:bodyPr>
                            </wps:wsp>
                            <wps:wsp>
                              <wps:cNvPr id="16" name="Rectangle: Rounded Corners 16"/>
                              <wps:cNvSpPr/>
                              <wps:spPr>
                                <a:xfrm>
                                  <a:off x="1009650" y="2889250"/>
                                  <a:ext cx="1281600" cy="1155700"/>
                                </a:xfrm>
                                <a:prstGeom prst="roundRect">
                                  <a:avLst>
                                    <a:gd name="adj" fmla="val 16667"/>
                                  </a:avLst>
                                </a:prstGeom>
                                <a:solidFill>
                                  <a:srgbClr val="ED7D31"/>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Customers Call for Competition through the DPS</w:t>
                                    </w:r>
                                  </w:p>
                                </w:txbxContent>
                              </wps:txbx>
                              <wps:bodyPr spcFirstLastPara="1" wrap="square" lIns="91425" tIns="45700" rIns="91425" bIns="45700" anchor="ctr" anchorCtr="0">
                                <a:noAutofit/>
                              </wps:bodyPr>
                            </wps:wsp>
                            <wps:wsp>
                              <wps:cNvPr id="17" name="Rectangle: Rounded Corners 17"/>
                              <wps:cNvSpPr/>
                              <wps:spPr>
                                <a:xfrm>
                                  <a:off x="1009650" y="207010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Suppliers accepted to the DPS – DPS Agreement executed</w:t>
                                    </w:r>
                                  </w:p>
                                </w:txbxContent>
                              </wps:txbx>
                              <wps:bodyPr spcFirstLastPara="1" wrap="square" lIns="91425" tIns="45700" rIns="91425" bIns="45700" anchor="ctr" anchorCtr="0">
                                <a:noAutofit/>
                              </wps:bodyPr>
                            </wps:wsp>
                            <wps:wsp>
                              <wps:cNvPr id="18" name="Rectangle: Rounded Corners 18"/>
                              <wps:cNvSpPr/>
                              <wps:spPr>
                                <a:xfrm>
                                  <a:off x="1009650" y="825500"/>
                                  <a:ext cx="1282065" cy="1187450"/>
                                </a:xfrm>
                                <a:prstGeom prst="roundRect">
                                  <a:avLst>
                                    <a:gd name="adj" fmla="val 16667"/>
                                  </a:avLst>
                                </a:prstGeom>
                                <a:solidFill>
                                  <a:srgbClr val="5B9BD5"/>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Suppliers Request to Participate (</w:t>
                                    </w:r>
                                    <w:proofErr w:type="spellStart"/>
                                    <w:r>
                                      <w:rPr>
                                        <w:color w:val="000000"/>
                                        <w:sz w:val="18"/>
                                      </w:rPr>
                                      <w:t>RtP</w:t>
                                    </w:r>
                                    <w:proofErr w:type="spellEnd"/>
                                    <w:r>
                                      <w:rPr>
                                        <w:color w:val="000000"/>
                                        <w:sz w:val="18"/>
                                      </w:rPr>
                                      <w:t>) in the DPS</w:t>
                                    </w:r>
                                  </w:p>
                                </w:txbxContent>
                              </wps:txbx>
                              <wps:bodyPr spcFirstLastPara="1" wrap="square" lIns="91425" tIns="45700" rIns="91425" bIns="45700" anchor="ctr" anchorCtr="0">
                                <a:noAutofit/>
                              </wps:bodyPr>
                            </wps:wsp>
                            <wps:wsp>
                              <wps:cNvPr id="19" name="Rectangle: Rounded Corners 19"/>
                              <wps:cNvSpPr/>
                              <wps:spPr>
                                <a:xfrm>
                                  <a:off x="2330450" y="1231900"/>
                                  <a:ext cx="3240000" cy="359410"/>
                                </a:xfrm>
                                <a:prstGeom prst="roundRect">
                                  <a:avLst>
                                    <a:gd name="adj" fmla="val 16667"/>
                                  </a:avLst>
                                </a:prstGeom>
                                <a:solidFill>
                                  <a:srgbClr val="9CC2E5"/>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DPS Selection criteria satisfied</w:t>
                                    </w:r>
                                  </w:p>
                                </w:txbxContent>
                              </wps:txbx>
                              <wps:bodyPr spcFirstLastPara="1" wrap="square" lIns="91425" tIns="45700" rIns="91425" bIns="45700" anchor="ctr" anchorCtr="0">
                                <a:noAutofit/>
                              </wps:bodyPr>
                            </wps:wsp>
                            <wps:wsp>
                              <wps:cNvPr id="20" name="Rectangle: Rounded Corners 20"/>
                              <wps:cNvSpPr/>
                              <wps:spPr>
                                <a:xfrm>
                                  <a:off x="1009650" y="4108450"/>
                                  <a:ext cx="4572000" cy="359410"/>
                                </a:xfrm>
                                <a:prstGeom prst="roundRect">
                                  <a:avLst>
                                    <a:gd name="adj" fmla="val 16667"/>
                                  </a:avLst>
                                </a:prstGeom>
                                <a:solidFill>
                                  <a:srgbClr val="70AD47"/>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jc w:val="center"/>
                                      <w:textDirection w:val="btLr"/>
                                    </w:pPr>
                                    <w:r>
                                      <w:rPr>
                                        <w:color w:val="000000"/>
                                        <w:sz w:val="18"/>
                                      </w:rPr>
                                      <w:t xml:space="preserve">Supplier(s) Awarded a Contract </w:t>
                                    </w:r>
                                  </w:p>
                                </w:txbxContent>
                              </wps:txbx>
                              <wps:bodyPr spcFirstLastPara="1" wrap="square" lIns="91425" tIns="45700" rIns="91425" bIns="45700" anchor="ctr" anchorCtr="0">
                                <a:noAutofit/>
                              </wps:bodyPr>
                            </wps:wsp>
                            <wps:wsp>
                              <wps:cNvPr id="21" name="Arrow: Down 21"/>
                              <wps:cNvSpPr/>
                              <wps:spPr>
                                <a:xfrm>
                                  <a:off x="2921000" y="2508250"/>
                                  <a:ext cx="774700" cy="349250"/>
                                </a:xfrm>
                                <a:prstGeom prst="downArrow">
                                  <a:avLst>
                                    <a:gd name="adj1" fmla="val 50000"/>
                                    <a:gd name="adj2" fmla="val 50000"/>
                                  </a:avLst>
                                </a:prstGeom>
                                <a:solidFill>
                                  <a:srgbClr val="70AD47"/>
                                </a:solidFill>
                                <a:ln w="12700" cap="flat" cmpd="sng">
                                  <a:solidFill>
                                    <a:srgbClr val="42719B"/>
                                  </a:solidFill>
                                  <a:prstDash val="solid"/>
                                  <a:miter lim="800000"/>
                                  <a:headEnd type="none" w="sm" len="sm"/>
                                  <a:tailEnd type="none" w="sm" len="sm"/>
                                </a:ln>
                              </wps:spPr>
                              <wps:txbx>
                                <w:txbxContent>
                                  <w:p w:rsidR="00961CDC" w:rsidRDefault="00961CDC">
                                    <w:pPr>
                                      <w:spacing w:after="0" w:line="240" w:lineRule="auto"/>
                                      <w:textDirection w:val="btLr"/>
                                    </w:pPr>
                                  </w:p>
                                </w:txbxContent>
                              </wps:txbx>
                              <wps:bodyPr spcFirstLastPara="1" wrap="square" lIns="91425" tIns="91425" rIns="91425" bIns="91425" anchor="ctr" anchorCtr="0">
                                <a:noAutofit/>
                              </wps:bodyPr>
                            </wps:wsp>
                            <wps:wsp>
                              <wps:cNvPr id="22" name="Rectangle: Rounded Corners 22"/>
                              <wps:cNvSpPr/>
                              <wps:spPr>
                                <a:xfrm>
                                  <a:off x="2330450" y="288925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Publish Call for Competition</w:t>
                                    </w:r>
                                  </w:p>
                                </w:txbxContent>
                              </wps:txbx>
                              <wps:bodyPr spcFirstLastPara="1" wrap="square" lIns="91425" tIns="45700" rIns="91425" bIns="45700" anchor="ctr" anchorCtr="0">
                                <a:noAutofit/>
                              </wps:bodyPr>
                            </wps:wsp>
                            <wps:wsp>
                              <wps:cNvPr id="23" name="Rectangle: Rounded Corners 23"/>
                              <wps:cNvSpPr/>
                              <wps:spPr>
                                <a:xfrm>
                                  <a:off x="2330450" y="32893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Capable DPS Suppliers respond</w:t>
                                    </w:r>
                                  </w:p>
                                </w:txbxContent>
                              </wps:txbx>
                              <wps:bodyPr spcFirstLastPara="1" wrap="square" lIns="91425" tIns="45700" rIns="91425" bIns="45700" anchor="ctr" anchorCtr="0">
                                <a:noAutofit/>
                              </wps:bodyPr>
                            </wps:wsp>
                            <wps:wsp>
                              <wps:cNvPr id="24" name="Rectangle: Rounded Corners 24"/>
                              <wps:cNvSpPr/>
                              <wps:spPr>
                                <a:xfrm>
                                  <a:off x="2330450" y="3683000"/>
                                  <a:ext cx="3240000" cy="360000"/>
                                </a:xfrm>
                                <a:prstGeom prst="roundRect">
                                  <a:avLst>
                                    <a:gd name="adj" fmla="val 16667"/>
                                  </a:avLst>
                                </a:prstGeom>
                                <a:solidFill>
                                  <a:srgbClr val="F4B081"/>
                                </a:solidFill>
                                <a:ln w="12700" cap="flat" cmpd="sng">
                                  <a:solidFill>
                                    <a:srgbClr val="42719B"/>
                                  </a:solidFill>
                                  <a:prstDash val="solid"/>
                                  <a:miter lim="800000"/>
                                  <a:headEnd type="none" w="sm" len="sm"/>
                                  <a:tailEnd type="none" w="sm" len="sm"/>
                                </a:ln>
                              </wps:spPr>
                              <wps:txbx>
                                <w:txbxContent>
                                  <w:p w:rsidR="00961CDC" w:rsidRDefault="00734305">
                                    <w:pPr>
                                      <w:spacing w:line="258" w:lineRule="auto"/>
                                      <w:textDirection w:val="btLr"/>
                                    </w:pPr>
                                    <w:r>
                                      <w:rPr>
                                        <w:color w:val="000000"/>
                                        <w:sz w:val="18"/>
                                      </w:rPr>
                                      <w:t>Customers evaluate Supplier responses</w:t>
                                    </w:r>
                                  </w:p>
                                </w:txbxContent>
                              </wps:txbx>
                              <wps:bodyPr spcFirstLastPara="1" wrap="square" lIns="91425" tIns="45700" rIns="91425" bIns="45700" anchor="ctr" anchorCtr="0">
                                <a:noAutofit/>
                              </wps:bodyPr>
                            </wps:wsp>
                          </wpg:grpSp>
                        </wpg:grpSp>
                      </wpg:grpSp>
                    </wpg:wgp>
                  </a:graphicData>
                </a:graphic>
              </wp:inline>
            </w:drawing>
          </mc:Choice>
          <mc:Fallback>
            <w:pict>
              <v:group id="Group 5" o:spid="_x0000_s1026" style="width:386.5pt;height:285.8pt;mso-position-horizontal-relative:char;mso-position-vertical-relative:line" coordorigin="28917,19651" coordsize="49085,3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">
                <v:group id="Group 1" o:spid="_x0000_s1027"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961CDC" w:rsidRDefault="00961CDC">
                          <w:pPr>
                            <w:spacing w:after="0" w:line="240" w:lineRule="auto"/>
                            <w:textDirection w:val="btLr"/>
                          </w:pPr>
                        </w:p>
                      </w:txbxContent>
                    </v:textbox>
                  </v:rect>
                  <v:group id="Group 3" o:spid="_x0000_s1029" style="position:absolute;left:28917;top:19651;width:49085;height:36297" coordorigin="28917,19651" coordsize="49085,3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8917;top:19651;width:49085;height:362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961CDC" w:rsidRDefault="00961CDC">
                            <w:pPr>
                              <w:spacing w:after="0" w:line="240" w:lineRule="auto"/>
                              <w:textDirection w:val="btLr"/>
                            </w:pPr>
                          </w:p>
                        </w:txbxContent>
                      </v:textbox>
                    </v:rect>
                    <v:group id="Group 8" o:spid="_x0000_s1031" style="position:absolute;left:28917;top:19651;width:49085;height:36297" coordorigin="-880" coordsize="56696,44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9" o:spid="_x0000_s1032" style="position:absolute;left:-880;width:56696;height:44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" filled="f" stroked="f">
                        <v:textbox inset="2.53958mm,2.53958mm,2.53958mm,2.53958mm">
                          <w:txbxContent>
                            <w:p w:rsidR="00961CDC" w:rsidRDefault="00961CDC">
                              <w:pPr>
                                <w:spacing w:after="0" w:line="240" w:lineRule="auto"/>
                                <w:textDirection w:val="btLr"/>
                              </w:pPr>
                            </w:p>
                          </w:txbxContent>
                        </v:textbox>
                      </v:rect>
                      <v:roundrect id="Rectangle: Rounded Corners 10" o:spid="_x0000_s1033" style="position:absolute;left:190;width:55512;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" fillcolor="#757070"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b/>
                                  <w:color w:val="000000"/>
                                  <w:sz w:val="18"/>
                                </w:rPr>
                                <w:t>CCS Dynamic Purchasing System (DPS)</w:t>
                              </w:r>
                            </w:p>
                          </w:txbxContent>
                        </v:textbox>
                      </v:roundrect>
                      <v:roundrect id="Rectangle: Rounded Corners 11" o:spid="_x0000_s1034" style="position:absolute;left:10096;top:4064;width:45606;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" fillcolor="#c4e0b2" strokecolor="#42719b" strokeweight="1pt">
                        <v:stroke startarrowwidth="narrow" startarrowlength="short" endarrowwidth="narrow" endarrowlength="short" joinstyle="miter"/>
                        <v:textbox inset="2.53958mm,1.2694mm,2.53958mm,1.2694mm">
                          <w:txbxContent>
                            <w:p w:rsidR="00961CDC" w:rsidRDefault="0008135F">
                              <w:pPr>
                                <w:spacing w:line="258" w:lineRule="auto"/>
                                <w:jc w:val="center"/>
                                <w:textDirection w:val="btLr"/>
                              </w:pPr>
                              <w:r>
                                <w:rPr>
                                  <w:color w:val="000000"/>
                                  <w:sz w:val="18"/>
                                </w:rPr>
                                <w:t xml:space="preserve">RM6313 DMR - </w:t>
                              </w:r>
                              <w:r w:rsidR="00734305">
                                <w:rPr>
                                  <w:color w:val="000000"/>
                                  <w:sz w:val="18"/>
                                </w:rPr>
                                <w:t>Compliance achieved</w:t>
                              </w:r>
                            </w:p>
                          </w:txbxContent>
                        </v:textbox>
                      </v:roundrect>
                      <v:roundrect id="Rectangle: Rounded Corners 12" o:spid="_x0000_s1035" style="position:absolute;left:127;top:4064;width:9359;height:20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" fillcolor="#2e75b5"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 xml:space="preserve">Multiple Suppliers </w:t>
                              </w:r>
                            </w:p>
                          </w:txbxContent>
                        </v:textbox>
                      </v:roundrect>
                      <v:roundrect id="Rectangle: Rounded Corners 13" o:spid="_x0000_s1036" style="position:absolute;left:23304;top:8255;width:32400;height:38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" fillcolor="#9cc2e5"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 xml:space="preserve">Suppliers can apply to join DPS at any point </w:t>
                              </w:r>
                            </w:p>
                          </w:txbxContent>
                        </v:textbox>
                      </v:roundrect>
                      <v:roundrect id="Rectangle: Rounded Corners 14" o:spid="_x0000_s1037" style="position:absolute;left:23304;top:16446;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" fillcolor="#9cc2e5"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DPS Agreement Terms &amp; Conditions accepted</w:t>
                              </w:r>
                            </w:p>
                          </w:txbxContent>
                        </v:textbox>
                      </v:roundrect>
                      <v:roundrect id="Rectangle: Rounded Corners 15" o:spid="_x0000_s1038" style="position:absolute;left:-880;top:28892;width:10239;height:1578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" fillcolor="#c55a11"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Multiple Customers</w:t>
                              </w:r>
                            </w:p>
                          </w:txbxContent>
                        </v:textbox>
                      </v:roundrect>
                      <v:roundrect id="Rectangle: Rounded Corners 16" o:spid="_x0000_s1039" style="position:absolute;left:10096;top:28892;width:12816;height:115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" fillcolor="#ed7d31"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Customers Call for Competition through the DPS</w:t>
                              </w:r>
                            </w:p>
                          </w:txbxContent>
                        </v:textbox>
                      </v:roundrect>
                      <v:roundrect id="Rectangle: Rounded Corners 17" o:spid="_x0000_s1040" style="position:absolute;left:10096;top:20701;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" fillcolor="#70ad47"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Suppliers accepted to the DPS – DPS Agreement executed</w:t>
                              </w:r>
                            </w:p>
                          </w:txbxContent>
                        </v:textbox>
                      </v:roundrect>
                      <v:roundrect id="Rectangle: Rounded Corners 18" o:spid="_x0000_s1041" style="position:absolute;left:10096;top:8255;width:12821;height:1187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" fillcolor="#5b9bd5"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Suppliers Request to Participate (</w:t>
                              </w:r>
                              <w:proofErr w:type="spellStart"/>
                              <w:r>
                                <w:rPr>
                                  <w:color w:val="000000"/>
                                  <w:sz w:val="18"/>
                                </w:rPr>
                                <w:t>RtP</w:t>
                              </w:r>
                              <w:proofErr w:type="spellEnd"/>
                              <w:r>
                                <w:rPr>
                                  <w:color w:val="000000"/>
                                  <w:sz w:val="18"/>
                                </w:rPr>
                                <w:t>) in the DPS</w:t>
                              </w:r>
                            </w:p>
                          </w:txbxContent>
                        </v:textbox>
                      </v:roundrect>
                      <v:roundrect id="Rectangle: Rounded Corners 19" o:spid="_x0000_s1042" style="position:absolute;left:23304;top:12319;width:3240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" fillcolor="#9cc2e5"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DPS Selection criteria satisfied</w:t>
                              </w:r>
                            </w:p>
                          </w:txbxContent>
                        </v:textbox>
                      </v:roundrect>
                      <v:roundrect id="Rectangle: Rounded Corners 20" o:spid="_x0000_s1043" style="position:absolute;left:10096;top:41084;width:45720;height:359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" fillcolor="#70ad47" strokecolor="#42719b" strokeweight="1pt">
                        <v:stroke startarrowwidth="narrow" startarrowlength="short" endarrowwidth="narrow" endarrowlength="short" joinstyle="miter"/>
                        <v:textbox inset="2.53958mm,1.2694mm,2.53958mm,1.2694mm">
                          <w:txbxContent>
                            <w:p w:rsidR="00961CDC" w:rsidRDefault="00734305">
                              <w:pPr>
                                <w:spacing w:line="258" w:lineRule="auto"/>
                                <w:jc w:val="center"/>
                                <w:textDirection w:val="btLr"/>
                              </w:pPr>
                              <w:r>
                                <w:rPr>
                                  <w:color w:val="000000"/>
                                  <w:sz w:val="18"/>
                                </w:rPr>
                                <w:t xml:space="preserve">Supplier(s) Awarded a Contract </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1" o:spid="_x0000_s1044" type="#_x0000_t67" style="position:absolute;left:29210;top:25082;width:7747;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" adj="10800" fillcolor="#70ad47" strokecolor="#42719b" strokeweight="1pt">
                        <v:stroke startarrowwidth="narrow" startarrowlength="short" endarrowwidth="narrow" endarrowlength="short"/>
                        <v:textbox inset="2.53958mm,2.53958mm,2.53958mm,2.53958mm">
                          <w:txbxContent>
                            <w:p w:rsidR="00961CDC" w:rsidRDefault="00961CDC">
                              <w:pPr>
                                <w:spacing w:after="0" w:line="240" w:lineRule="auto"/>
                                <w:textDirection w:val="btLr"/>
                              </w:pPr>
                            </w:p>
                          </w:txbxContent>
                        </v:textbox>
                      </v:shape>
                      <v:roundrect id="Rectangle: Rounded Corners 22" o:spid="_x0000_s1045" style="position:absolute;left:23304;top:28892;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" fillcolor="#f4b081"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Publish Call for Competition</w:t>
                              </w:r>
                            </w:p>
                          </w:txbxContent>
                        </v:textbox>
                      </v:roundrect>
                      <v:roundrect id="Rectangle: Rounded Corners 23" o:spid="_x0000_s1046" style="position:absolute;left:23304;top:32893;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" fillcolor="#f4b081"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Capable DPS Suppliers respond</w:t>
                              </w:r>
                            </w:p>
                          </w:txbxContent>
                        </v:textbox>
                      </v:roundrect>
                      <v:roundrect id="Rectangle: Rounded Corners 24" o:spid="_x0000_s1047" style="position:absolute;left:23304;top:36830;width:32400;height:36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" fillcolor="#f4b081" strokecolor="#42719b" strokeweight="1pt">
                        <v:stroke startarrowwidth="narrow" startarrowlength="short" endarrowwidth="narrow" endarrowlength="short" joinstyle="miter"/>
                        <v:textbox inset="2.53958mm,1.2694mm,2.53958mm,1.2694mm">
                          <w:txbxContent>
                            <w:p w:rsidR="00961CDC" w:rsidRDefault="00734305">
                              <w:pPr>
                                <w:spacing w:line="258" w:lineRule="auto"/>
                                <w:textDirection w:val="btLr"/>
                              </w:pPr>
                              <w:r>
                                <w:rPr>
                                  <w:color w:val="000000"/>
                                  <w:sz w:val="18"/>
                                </w:rPr>
                                <w:t>Customers evaluate Supplier responses</w:t>
                              </w:r>
                            </w:p>
                          </w:txbxContent>
                        </v:textbox>
                      </v:roundrect>
                    </v:group>
                  </v:group>
                </v:group>
                <w10:anchorlock/>
              </v:group>
            </w:pict>
          </mc:Fallback>
        </mc:AlternateContent>
      </w:r>
    </w:p>
    <w:p w:rsidR="00961CDC" w:rsidRDefault="00961CDC"/>
    <w:p w:rsidR="00961CDC" w:rsidRDefault="00734305">
      <w:pPr>
        <w:spacing w:before="120" w:after="120" w:line="240" w:lineRule="auto"/>
        <w:ind w:hanging="1"/>
        <w:jc w:val="both"/>
        <w:rPr>
          <w:b/>
        </w:rPr>
      </w:pPr>
      <w:r>
        <w:rPr>
          <w:b/>
        </w:rPr>
        <w:t>How will the services within the DPS for RM6313 – Demand Management and Renewables be organised?</w:t>
      </w:r>
    </w:p>
    <w:p w:rsidR="00961CDC" w:rsidRDefault="00734305">
      <w:pPr>
        <w:spacing w:before="120" w:after="120" w:line="240" w:lineRule="auto"/>
        <w:ind w:hanging="1"/>
        <w:jc w:val="both"/>
      </w:pPr>
      <w:r>
        <w:t>The RM6313 DPS will be organised into distinct categories so:</w:t>
      </w:r>
    </w:p>
    <w:p w:rsidR="00961CDC" w:rsidRDefault="00734305">
      <w:pPr>
        <w:spacing w:before="120" w:after="120" w:line="240" w:lineRule="auto"/>
        <w:ind w:hanging="1"/>
        <w:jc w:val="both"/>
      </w:pPr>
      <w:r>
        <w:t>Bidders can indicate all elements relevant to their service offering, and</w:t>
      </w:r>
    </w:p>
    <w:p w:rsidR="00961CDC" w:rsidRDefault="00734305">
      <w:pPr>
        <w:spacing w:before="120" w:after="120" w:line="240" w:lineRule="auto"/>
        <w:ind w:hanging="1"/>
        <w:jc w:val="both"/>
      </w:pPr>
      <w:r>
        <w:t>Buyers can filter the e</w:t>
      </w:r>
      <w:r>
        <w:t>lements to produce a shortlist of appointed suppliers to invite to a competition.</w:t>
      </w:r>
    </w:p>
    <w:p w:rsidR="00961CDC" w:rsidRDefault="00734305">
      <w:pPr>
        <w:spacing w:before="120" w:after="120" w:line="240" w:lineRule="auto"/>
        <w:ind w:hanging="1"/>
        <w:jc w:val="both"/>
      </w:pPr>
      <w:r>
        <w:t xml:space="preserve">The [four (4)] distinct categories comprise of: </w:t>
      </w:r>
    </w:p>
    <w:p w:rsidR="00961CDC" w:rsidRDefault="00734305">
      <w:pPr>
        <w:numPr>
          <w:ilvl w:val="0"/>
          <w:numId w:val="6"/>
        </w:numPr>
        <w:pBdr>
          <w:top w:val="nil"/>
          <w:left w:val="nil"/>
          <w:bottom w:val="nil"/>
          <w:right w:val="nil"/>
          <w:between w:val="nil"/>
        </w:pBdr>
        <w:spacing w:after="0"/>
        <w:rPr>
          <w:color w:val="000000"/>
        </w:rPr>
      </w:pPr>
      <w:r>
        <w:t xml:space="preserve">Industry area and service type </w:t>
      </w:r>
    </w:p>
    <w:p w:rsidR="00961CDC" w:rsidRDefault="00734305">
      <w:pPr>
        <w:numPr>
          <w:ilvl w:val="0"/>
          <w:numId w:val="6"/>
        </w:numPr>
        <w:pBdr>
          <w:top w:val="nil"/>
          <w:left w:val="nil"/>
          <w:bottom w:val="nil"/>
          <w:right w:val="nil"/>
          <w:between w:val="nil"/>
        </w:pBdr>
        <w:spacing w:after="0"/>
        <w:rPr>
          <w:color w:val="000000"/>
        </w:rPr>
      </w:pPr>
      <w:r>
        <w:rPr>
          <w:color w:val="000000"/>
        </w:rPr>
        <w:t xml:space="preserve">Location </w:t>
      </w:r>
      <w:r>
        <w:t xml:space="preserve">UK (NUTS regions) </w:t>
      </w:r>
    </w:p>
    <w:p w:rsidR="00961CDC" w:rsidRDefault="00734305">
      <w:pPr>
        <w:numPr>
          <w:ilvl w:val="0"/>
          <w:numId w:val="6"/>
        </w:numPr>
        <w:pBdr>
          <w:top w:val="nil"/>
          <w:left w:val="nil"/>
          <w:bottom w:val="nil"/>
          <w:right w:val="nil"/>
          <w:between w:val="nil"/>
        </w:pBdr>
        <w:spacing w:after="0"/>
        <w:rPr>
          <w:color w:val="000000"/>
        </w:rPr>
      </w:pPr>
      <w:r>
        <w:t xml:space="preserve">International location </w:t>
      </w:r>
    </w:p>
    <w:p w:rsidR="00961CDC" w:rsidRDefault="00734305">
      <w:pPr>
        <w:numPr>
          <w:ilvl w:val="0"/>
          <w:numId w:val="6"/>
        </w:numPr>
        <w:pBdr>
          <w:top w:val="nil"/>
          <w:left w:val="nil"/>
          <w:bottom w:val="nil"/>
          <w:right w:val="nil"/>
          <w:between w:val="nil"/>
        </w:pBdr>
        <w:rPr>
          <w:color w:val="000000"/>
        </w:rPr>
      </w:pPr>
      <w:bookmarkStart w:id="6" w:name="_GoBack"/>
      <w:r>
        <w:t xml:space="preserve">Project Value </w:t>
      </w:r>
    </w:p>
    <w:bookmarkEnd w:id="6"/>
    <w:p w:rsidR="00961CDC" w:rsidRDefault="00734305">
      <w:pPr>
        <w:jc w:val="both"/>
      </w:pPr>
      <w:r>
        <w:t>Full details of the four (</w:t>
      </w:r>
      <w:r>
        <w:t xml:space="preserve">4) distinct categories and the sub-categories can be found at Attachment 1 – Demand Management and Renewables Product and Services Matrix. </w:t>
      </w:r>
    </w:p>
    <w:p w:rsidR="00961CDC" w:rsidRDefault="00961CDC">
      <w:pPr>
        <w:jc w:val="both"/>
      </w:pPr>
    </w:p>
    <w:p w:rsidR="00961CDC" w:rsidRDefault="00734305">
      <w:pPr>
        <w:spacing w:before="120" w:after="120" w:line="240" w:lineRule="auto"/>
        <w:ind w:hanging="1"/>
        <w:jc w:val="both"/>
        <w:rPr>
          <w:b/>
        </w:rPr>
      </w:pPr>
      <w:r>
        <w:rPr>
          <w:b/>
        </w:rPr>
        <w:lastRenderedPageBreak/>
        <w:t>Who are the Buyers of the RM6313 – Demand Management and Renewables DPS Agreement?</w:t>
      </w:r>
    </w:p>
    <w:p w:rsidR="00961CDC" w:rsidRDefault="00734305">
      <w:pPr>
        <w:spacing w:before="120" w:after="120" w:line="240" w:lineRule="auto"/>
        <w:ind w:hanging="1"/>
        <w:jc w:val="both"/>
      </w:pPr>
      <w:r>
        <w:t>The RM6313 – Demand Management a</w:t>
      </w:r>
      <w:r>
        <w:t xml:space="preserve">nd Renewables DPS Agreement will be available to all central government and wider public sector organisations as listed in the Find a Tender notice, including but not limited to the following: </w:t>
      </w:r>
    </w:p>
    <w:p w:rsidR="00961CDC" w:rsidRDefault="00734305">
      <w:r>
        <w:t>Central Government:</w:t>
      </w:r>
    </w:p>
    <w:p w:rsidR="00961CDC" w:rsidRDefault="00734305">
      <w:r>
        <w:tab/>
        <w:t>- Environment</w:t>
      </w:r>
    </w:p>
    <w:p w:rsidR="00961CDC" w:rsidRDefault="00734305">
      <w:r>
        <w:tab/>
        <w:t>- Defence</w:t>
      </w:r>
    </w:p>
    <w:p w:rsidR="00961CDC" w:rsidRDefault="00734305">
      <w:r>
        <w:tab/>
      </w:r>
      <w:r>
        <w:t>- Other Central Government</w:t>
      </w:r>
    </w:p>
    <w:p w:rsidR="00961CDC" w:rsidRDefault="00734305">
      <w:r>
        <w:t>Wider Public Sector:</w:t>
      </w:r>
    </w:p>
    <w:p w:rsidR="00961CDC" w:rsidRDefault="00734305">
      <w:r>
        <w:tab/>
        <w:t>- Education</w:t>
      </w:r>
    </w:p>
    <w:p w:rsidR="00961CDC" w:rsidRDefault="00734305">
      <w:r>
        <w:tab/>
        <w:t>- Fire and Rescue</w:t>
      </w:r>
    </w:p>
    <w:p w:rsidR="00961CDC" w:rsidRDefault="00734305">
      <w:r>
        <w:tab/>
        <w:t>- Health</w:t>
      </w:r>
    </w:p>
    <w:p w:rsidR="00961CDC" w:rsidRDefault="00734305">
      <w:r>
        <w:tab/>
        <w:t>- Local Government</w:t>
      </w:r>
    </w:p>
    <w:p w:rsidR="00961CDC" w:rsidRDefault="00734305">
      <w:r>
        <w:tab/>
        <w:t>- Not for Profit (Charitable)</w:t>
      </w:r>
    </w:p>
    <w:p w:rsidR="00961CDC" w:rsidRDefault="00734305">
      <w:r>
        <w:tab/>
        <w:t>- Police</w:t>
      </w:r>
    </w:p>
    <w:p w:rsidR="00961CDC" w:rsidRDefault="00734305">
      <w:r>
        <w:tab/>
        <w:t>- Housing Association</w:t>
      </w:r>
    </w:p>
    <w:p w:rsidR="00961CDC" w:rsidRDefault="00734305">
      <w:proofErr w:type="gramStart"/>
      <w:r>
        <w:t>Other</w:t>
      </w:r>
      <w:proofErr w:type="gramEnd"/>
      <w:r>
        <w:t xml:space="preserve"> Wider Public Sector</w:t>
      </w:r>
    </w:p>
    <w:p w:rsidR="00961CDC" w:rsidRDefault="00734305">
      <w:pPr>
        <w:spacing w:before="120" w:after="120" w:line="240" w:lineRule="auto"/>
        <w:ind w:hanging="1"/>
        <w:jc w:val="both"/>
      </w:pPr>
      <w:r>
        <w:t>The RM6313 DPS Agreement is expected to see growth from both Buyers who use a current public sector Demand Management and Renewables Agreement and also new Buyers who choose to purchase Demand Management and Renewable services via this DPS route.</w:t>
      </w:r>
    </w:p>
    <w:p w:rsidR="00961CDC" w:rsidRDefault="00961CDC">
      <w:pPr>
        <w:spacing w:before="120" w:after="120" w:line="240" w:lineRule="auto"/>
        <w:ind w:hanging="1"/>
        <w:jc w:val="both"/>
        <w:rPr>
          <w:b/>
        </w:rPr>
      </w:pPr>
    </w:p>
    <w:p w:rsidR="00961CDC" w:rsidRDefault="00734305">
      <w:pPr>
        <w:rPr>
          <w:b/>
        </w:rPr>
      </w:pPr>
      <w:r>
        <w:br w:type="page"/>
      </w:r>
    </w:p>
    <w:p w:rsidR="00961CDC" w:rsidRDefault="00734305">
      <w:pPr>
        <w:spacing w:before="120" w:after="120" w:line="240" w:lineRule="auto"/>
        <w:ind w:hanging="1"/>
        <w:jc w:val="both"/>
        <w:rPr>
          <w:b/>
        </w:rPr>
      </w:pPr>
      <w:r>
        <w:rPr>
          <w:b/>
        </w:rPr>
        <w:lastRenderedPageBreak/>
        <w:t>What a</w:t>
      </w:r>
      <w:r>
        <w:rPr>
          <w:b/>
        </w:rPr>
        <w:t>re the benefits of the RM6313 – Demand Management and Renewables DPS Agreement?</w:t>
      </w:r>
    </w:p>
    <w:tbl>
      <w:tblPr>
        <w:tblStyle w:val="a9"/>
        <w:tblW w:w="9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60"/>
      </w:tblGrid>
      <w:tr w:rsidR="00961CDC">
        <w:trPr>
          <w:trHeight w:val="4420"/>
        </w:trPr>
        <w:tc>
          <w:tcPr>
            <w:tcW w:w="9360" w:type="dxa"/>
            <w:tcMar>
              <w:top w:w="105" w:type="dxa"/>
              <w:left w:w="105" w:type="dxa"/>
              <w:bottom w:w="105" w:type="dxa"/>
              <w:right w:w="105" w:type="dxa"/>
            </w:tcMar>
          </w:tcPr>
          <w:p w:rsidR="00961CDC" w:rsidRDefault="00734305">
            <w:pPr>
              <w:numPr>
                <w:ilvl w:val="1"/>
                <w:numId w:val="7"/>
              </w:numPr>
              <w:pBdr>
                <w:top w:val="nil"/>
                <w:left w:val="nil"/>
                <w:bottom w:val="nil"/>
                <w:right w:val="nil"/>
                <w:between w:val="nil"/>
              </w:pBdr>
              <w:spacing w:before="120" w:after="120"/>
              <w:ind w:left="888" w:hanging="851"/>
              <w:jc w:val="both"/>
            </w:pPr>
            <w:r>
              <w:rPr>
                <w:color w:val="000000"/>
              </w:rPr>
              <w:t>Simpler, quicker process – accessible for both SMEs and other suppliers seeking opportunities to provide services to the public sector.</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Automated, electronic process – streamlined electronic process.</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Flexible - new bidders can apply to join at any point.</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Choice - increased scope/scale of service offerings and access to public sector business.</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Filtering of supplier offering - ensures suppli</w:t>
            </w:r>
            <w:r>
              <w:rPr>
                <w:color w:val="000000"/>
              </w:rPr>
              <w:t>ers receive notifications of competitions that are relevant to their service offering.</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 xml:space="preserve">Dynamic – </w:t>
            </w:r>
            <w:r>
              <w:t xml:space="preserve">Buyers </w:t>
            </w:r>
            <w:r>
              <w:rPr>
                <w:color w:val="000000"/>
              </w:rPr>
              <w:t xml:space="preserve">can create bespoke specifications, competitions and contracts. </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Supports localism and Social Value - enabling appointed suppliers to bid for business ei</w:t>
            </w:r>
            <w:r>
              <w:rPr>
                <w:color w:val="000000"/>
              </w:rPr>
              <w:t>ther locally, regionally or nationally.</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 xml:space="preserve">Savings – drives savings through the ‘Call for Competition’ procedure. </w:t>
            </w:r>
          </w:p>
          <w:p w:rsidR="00961CDC" w:rsidRDefault="00734305">
            <w:pPr>
              <w:numPr>
                <w:ilvl w:val="0"/>
                <w:numId w:val="7"/>
              </w:numPr>
              <w:pBdr>
                <w:top w:val="nil"/>
                <w:left w:val="nil"/>
                <w:bottom w:val="nil"/>
                <w:right w:val="nil"/>
                <w:between w:val="nil"/>
              </w:pBdr>
              <w:spacing w:before="120" w:after="120"/>
              <w:ind w:left="888" w:hanging="851"/>
              <w:jc w:val="both"/>
            </w:pPr>
            <w:r>
              <w:rPr>
                <w:color w:val="000000"/>
              </w:rPr>
              <w:t xml:space="preserve">Efficiencies – reduces </w:t>
            </w:r>
            <w:r>
              <w:t xml:space="preserve">Buyers </w:t>
            </w:r>
            <w:r>
              <w:rPr>
                <w:color w:val="000000"/>
              </w:rPr>
              <w:t>costs and process cycle time</w:t>
            </w:r>
          </w:p>
          <w:p w:rsidR="00961CDC" w:rsidRDefault="00961CDC">
            <w:pPr>
              <w:spacing w:before="120" w:after="120"/>
              <w:ind w:left="37"/>
              <w:jc w:val="both"/>
            </w:pPr>
          </w:p>
          <w:p w:rsidR="00961CDC" w:rsidRDefault="00734305">
            <w:pPr>
              <w:spacing w:before="120" w:after="120"/>
              <w:ind w:left="37"/>
              <w:jc w:val="both"/>
              <w:rPr>
                <w:b/>
              </w:rPr>
            </w:pPr>
            <w:r>
              <w:rPr>
                <w:b/>
              </w:rPr>
              <w:t>What is the estimated value of the RM6313 – Demand Management and Renewables DPS Agr</w:t>
            </w:r>
            <w:r>
              <w:rPr>
                <w:b/>
              </w:rPr>
              <w:t>eement?</w:t>
            </w:r>
          </w:p>
          <w:p w:rsidR="00961CDC" w:rsidRDefault="00734305">
            <w:pPr>
              <w:spacing w:before="120" w:after="120"/>
              <w:ind w:left="37"/>
              <w:jc w:val="both"/>
            </w:pPr>
            <w:r>
              <w:t>The estimated value is £133m (excluding VAT) over the lifetime of the agreement. This will comprise multiple contracts with multiple suppliers, however there is no guarantee of work or spend under this RM6313 DPS Agreement.</w:t>
            </w:r>
          </w:p>
        </w:tc>
      </w:tr>
    </w:tbl>
    <w:p w:rsidR="00961CDC" w:rsidRDefault="00734305">
      <w:pPr>
        <w:pStyle w:val="Heading2"/>
        <w:ind w:left="851" w:hanging="851"/>
        <w:rPr>
          <w:b/>
          <w:color w:val="000000"/>
        </w:rPr>
      </w:pPr>
      <w:bookmarkStart w:id="7" w:name="_heading=h.3dy6vkm" w:colFirst="0" w:colLast="0"/>
      <w:bookmarkEnd w:id="7"/>
      <w:r>
        <w:rPr>
          <w:b/>
          <w:color w:val="000000"/>
        </w:rPr>
        <w:t xml:space="preserve">1.3 </w:t>
      </w:r>
      <w:r>
        <w:rPr>
          <w:b/>
          <w:color w:val="000000"/>
        </w:rPr>
        <w:tab/>
      </w:r>
      <w:r>
        <w:rPr>
          <w:b/>
          <w:color w:val="000000"/>
        </w:rPr>
        <w:t xml:space="preserve">The current situation </w:t>
      </w:r>
    </w:p>
    <w:p w:rsidR="00961CDC" w:rsidRDefault="00734305">
      <w:pPr>
        <w:spacing w:before="120" w:after="120" w:line="240" w:lineRule="auto"/>
        <w:jc w:val="both"/>
      </w:pPr>
      <w:r>
        <w:t>This RM6313 – Demand Management and Renewables DPS Agreement is a replacement of the RM3824 Heat Networks and Electricity Generation Assets (HELGA) DPS Agreement. The new RM6313 DMR Agreement will support a wider Carbon Net Zero rout</w:t>
      </w:r>
      <w:r>
        <w:t xml:space="preserve">e to market within Crown Commercial Service. </w:t>
      </w:r>
    </w:p>
    <w:p w:rsidR="00961CDC" w:rsidRDefault="00734305">
      <w:r>
        <w:br w:type="page"/>
      </w:r>
    </w:p>
    <w:p w:rsidR="00961CDC" w:rsidRDefault="00734305">
      <w:pPr>
        <w:pStyle w:val="Heading1"/>
        <w:numPr>
          <w:ilvl w:val="0"/>
          <w:numId w:val="5"/>
        </w:numPr>
        <w:ind w:left="851" w:hanging="851"/>
        <w:rPr>
          <w:b/>
          <w:color w:val="000000"/>
        </w:rPr>
      </w:pPr>
      <w:bookmarkStart w:id="8" w:name="_heading=h.1t3h5sf" w:colFirst="0" w:colLast="0"/>
      <w:bookmarkEnd w:id="8"/>
      <w:r>
        <w:rPr>
          <w:b/>
          <w:color w:val="000000"/>
        </w:rPr>
        <w:lastRenderedPageBreak/>
        <w:t>Specification (Schedule 2 Part A Goods and/or Services)</w:t>
      </w:r>
    </w:p>
    <w:p w:rsidR="00961CDC" w:rsidRDefault="00961CDC"/>
    <w:p w:rsidR="00961CDC" w:rsidRDefault="00734305">
      <w:pPr>
        <w:pStyle w:val="Heading2"/>
        <w:ind w:left="851" w:hanging="851"/>
        <w:rPr>
          <w:b/>
          <w:color w:val="000000"/>
        </w:rPr>
      </w:pPr>
      <w:bookmarkStart w:id="9" w:name="_heading=h.4d34og8" w:colFirst="0" w:colLast="0"/>
      <w:bookmarkEnd w:id="9"/>
      <w:r>
        <w:rPr>
          <w:b/>
          <w:color w:val="000000"/>
        </w:rPr>
        <w:t xml:space="preserve">2.1 </w:t>
      </w:r>
      <w:r>
        <w:rPr>
          <w:b/>
          <w:color w:val="000000"/>
        </w:rPr>
        <w:tab/>
        <w:t>Our priorities</w:t>
      </w:r>
    </w:p>
    <w:p w:rsidR="00961CDC" w:rsidRDefault="00734305">
      <w:pPr>
        <w:spacing w:before="120" w:after="120" w:line="240" w:lineRule="auto"/>
        <w:ind w:hanging="1"/>
        <w:jc w:val="both"/>
      </w:pPr>
      <w:r>
        <w:t>Crown Commercial Service (CCS) key priorities are to support visibility of Demand Management and Renewables products and services w</w:t>
      </w:r>
      <w:r>
        <w:t>hole life costs and to influence efficiencies through:</w:t>
      </w:r>
    </w:p>
    <w:p w:rsidR="00961CDC" w:rsidRDefault="00734305">
      <w:pPr>
        <w:numPr>
          <w:ilvl w:val="0"/>
          <w:numId w:val="1"/>
        </w:numPr>
        <w:pBdr>
          <w:top w:val="nil"/>
          <w:left w:val="nil"/>
          <w:bottom w:val="nil"/>
          <w:right w:val="nil"/>
          <w:between w:val="nil"/>
        </w:pBdr>
        <w:spacing w:before="120" w:after="0" w:line="240" w:lineRule="auto"/>
        <w:ind w:left="851" w:hanging="851"/>
        <w:jc w:val="both"/>
      </w:pPr>
      <w:r>
        <w:rPr>
          <w:color w:val="000000"/>
        </w:rPr>
        <w:t xml:space="preserve">Offering valued solutions to meet </w:t>
      </w:r>
      <w:r>
        <w:t xml:space="preserve">Buyers </w:t>
      </w:r>
      <w:r>
        <w:rPr>
          <w:color w:val="000000"/>
        </w:rPr>
        <w:t xml:space="preserve">individual requirements; </w:t>
      </w:r>
    </w:p>
    <w:p w:rsidR="00961CDC" w:rsidRDefault="00734305">
      <w:pPr>
        <w:numPr>
          <w:ilvl w:val="0"/>
          <w:numId w:val="1"/>
        </w:numPr>
        <w:pBdr>
          <w:top w:val="nil"/>
          <w:left w:val="nil"/>
          <w:bottom w:val="nil"/>
          <w:right w:val="nil"/>
          <w:between w:val="nil"/>
        </w:pBdr>
        <w:spacing w:after="0" w:line="240" w:lineRule="auto"/>
        <w:ind w:left="851" w:hanging="851"/>
        <w:jc w:val="both"/>
      </w:pPr>
      <w:r>
        <w:rPr>
          <w:color w:val="000000"/>
        </w:rPr>
        <w:t xml:space="preserve">Build and increase capacity of </w:t>
      </w:r>
      <w:proofErr w:type="gramStart"/>
      <w:r>
        <w:rPr>
          <w:color w:val="000000"/>
        </w:rPr>
        <w:t>high quality</w:t>
      </w:r>
      <w:proofErr w:type="gramEnd"/>
      <w:r>
        <w:rPr>
          <w:color w:val="000000"/>
        </w:rPr>
        <w:t xml:space="preserve"> products and services;</w:t>
      </w:r>
    </w:p>
    <w:p w:rsidR="00961CDC" w:rsidRDefault="00734305">
      <w:pPr>
        <w:numPr>
          <w:ilvl w:val="0"/>
          <w:numId w:val="1"/>
        </w:numPr>
        <w:pBdr>
          <w:top w:val="nil"/>
          <w:left w:val="nil"/>
          <w:bottom w:val="nil"/>
          <w:right w:val="nil"/>
          <w:between w:val="nil"/>
        </w:pBdr>
        <w:spacing w:after="0" w:line="240" w:lineRule="auto"/>
        <w:ind w:left="851" w:hanging="851"/>
        <w:jc w:val="both"/>
      </w:pPr>
      <w:r>
        <w:rPr>
          <w:color w:val="000000"/>
        </w:rPr>
        <w:t>Provide greater opportunity for aggregation; and</w:t>
      </w:r>
    </w:p>
    <w:p w:rsidR="00961CDC" w:rsidRDefault="00734305">
      <w:pPr>
        <w:numPr>
          <w:ilvl w:val="0"/>
          <w:numId w:val="1"/>
        </w:numPr>
        <w:pBdr>
          <w:top w:val="nil"/>
          <w:left w:val="nil"/>
          <w:bottom w:val="nil"/>
          <w:right w:val="nil"/>
          <w:between w:val="nil"/>
        </w:pBdr>
        <w:spacing w:after="0" w:line="240" w:lineRule="auto"/>
        <w:ind w:left="851" w:hanging="851"/>
        <w:jc w:val="both"/>
      </w:pPr>
      <w:r>
        <w:rPr>
          <w:color w:val="000000"/>
        </w:rPr>
        <w:t>Develop a dynamic commercial model for access to products and services.</w:t>
      </w:r>
    </w:p>
    <w:p w:rsidR="00961CDC" w:rsidRDefault="00961CDC">
      <w:pPr>
        <w:pBdr>
          <w:top w:val="nil"/>
          <w:left w:val="nil"/>
          <w:bottom w:val="nil"/>
          <w:right w:val="nil"/>
          <w:between w:val="nil"/>
        </w:pBdr>
        <w:spacing w:after="120" w:line="240" w:lineRule="auto"/>
        <w:ind w:left="851" w:hanging="720"/>
        <w:jc w:val="both"/>
        <w:rPr>
          <w:color w:val="000000"/>
        </w:rPr>
      </w:pPr>
    </w:p>
    <w:p w:rsidR="00961CDC" w:rsidRDefault="00734305">
      <w:pPr>
        <w:pStyle w:val="Heading2"/>
        <w:ind w:left="851" w:hanging="851"/>
        <w:rPr>
          <w:b/>
          <w:color w:val="000000"/>
        </w:rPr>
      </w:pPr>
      <w:bookmarkStart w:id="10" w:name="_heading=h.2s8eyo1" w:colFirst="0" w:colLast="0"/>
      <w:bookmarkEnd w:id="10"/>
      <w:r>
        <w:rPr>
          <w:b/>
          <w:color w:val="000000"/>
        </w:rPr>
        <w:t xml:space="preserve">2.2 </w:t>
      </w:r>
      <w:r>
        <w:rPr>
          <w:b/>
          <w:color w:val="000000"/>
        </w:rPr>
        <w:tab/>
        <w:t xml:space="preserve">Scope </w:t>
      </w:r>
    </w:p>
    <w:p w:rsidR="00961CDC" w:rsidRDefault="00734305">
      <w:pPr>
        <w:spacing w:before="120" w:after="120" w:line="240" w:lineRule="auto"/>
        <w:ind w:hanging="1"/>
        <w:jc w:val="both"/>
      </w:pPr>
      <w:bookmarkStart w:id="11" w:name="_heading=h.17dp8vu" w:colFirst="0" w:colLast="0"/>
      <w:bookmarkEnd w:id="11"/>
      <w:r>
        <w:t>The Supplier shall provide products and services as detailed in the Product and Services Matrix of DPS Schedule 2 (Key Performance Indicators and Services) of RM6313</w:t>
      </w:r>
      <w:r>
        <w:t xml:space="preserve"> DPS Agreement. </w:t>
      </w:r>
    </w:p>
    <w:p w:rsidR="00961CDC" w:rsidRDefault="00734305">
      <w:pPr>
        <w:spacing w:before="120" w:after="120" w:line="240" w:lineRule="auto"/>
        <w:ind w:hanging="1"/>
        <w:jc w:val="both"/>
      </w:pPr>
      <w:r>
        <w:t>The core requirement of RM6313– Demand Management and Renewables shall include but not be limited to:</w:t>
      </w:r>
    </w:p>
    <w:p w:rsidR="00961CDC" w:rsidRDefault="00734305">
      <w:pPr>
        <w:spacing w:before="120" w:after="120" w:line="240" w:lineRule="auto"/>
        <w:ind w:hanging="1"/>
        <w:jc w:val="both"/>
      </w:pPr>
      <w:r>
        <w:t xml:space="preserve">Filters four (4) distinct categories: </w:t>
      </w:r>
    </w:p>
    <w:p w:rsidR="00961CDC" w:rsidRDefault="00734305">
      <w:pPr>
        <w:numPr>
          <w:ilvl w:val="0"/>
          <w:numId w:val="1"/>
        </w:numPr>
        <w:spacing w:after="0"/>
      </w:pPr>
      <w:r>
        <w:t xml:space="preserve">Industry area and service type </w:t>
      </w:r>
    </w:p>
    <w:p w:rsidR="00961CDC" w:rsidRDefault="00734305">
      <w:pPr>
        <w:numPr>
          <w:ilvl w:val="0"/>
          <w:numId w:val="1"/>
        </w:numPr>
        <w:spacing w:after="0"/>
      </w:pPr>
      <w:r>
        <w:t xml:space="preserve">Location UK (NUTS regions) </w:t>
      </w:r>
    </w:p>
    <w:p w:rsidR="00961CDC" w:rsidRDefault="00734305">
      <w:pPr>
        <w:numPr>
          <w:ilvl w:val="0"/>
          <w:numId w:val="1"/>
        </w:numPr>
        <w:spacing w:after="0"/>
      </w:pPr>
      <w:r>
        <w:t xml:space="preserve">International location </w:t>
      </w:r>
    </w:p>
    <w:p w:rsidR="00961CDC" w:rsidRDefault="00734305">
      <w:pPr>
        <w:numPr>
          <w:ilvl w:val="0"/>
          <w:numId w:val="1"/>
        </w:numPr>
      </w:pPr>
      <w:r>
        <w:t xml:space="preserve">Project Value </w:t>
      </w:r>
    </w:p>
    <w:p w:rsidR="00961CDC" w:rsidRDefault="00734305">
      <w:r>
        <w:t>The Service Types are outlined in the Specification but cover the following:</w:t>
      </w:r>
    </w:p>
    <w:p w:rsidR="00961CDC" w:rsidRDefault="00734305">
      <w:pPr>
        <w:numPr>
          <w:ilvl w:val="0"/>
          <w:numId w:val="3"/>
        </w:numPr>
        <w:spacing w:after="0"/>
      </w:pPr>
      <w:r>
        <w:t xml:space="preserve">Design and Feasibility Study </w:t>
      </w:r>
    </w:p>
    <w:p w:rsidR="00961CDC" w:rsidRDefault="00734305">
      <w:pPr>
        <w:numPr>
          <w:ilvl w:val="0"/>
          <w:numId w:val="3"/>
        </w:numPr>
        <w:spacing w:after="0"/>
      </w:pPr>
      <w:r>
        <w:t>Installation</w:t>
      </w:r>
    </w:p>
    <w:p w:rsidR="00961CDC" w:rsidRDefault="00734305">
      <w:pPr>
        <w:numPr>
          <w:ilvl w:val="0"/>
          <w:numId w:val="3"/>
        </w:numPr>
        <w:spacing w:after="0"/>
      </w:pPr>
      <w:r>
        <w:t>Servicing, Maintenance and Support</w:t>
      </w:r>
    </w:p>
    <w:p w:rsidR="00961CDC" w:rsidRDefault="00734305">
      <w:pPr>
        <w:numPr>
          <w:ilvl w:val="0"/>
          <w:numId w:val="3"/>
        </w:numPr>
        <w:spacing w:after="0"/>
      </w:pPr>
      <w:r>
        <w:t>Purchase only</w:t>
      </w:r>
    </w:p>
    <w:p w:rsidR="00961CDC" w:rsidRDefault="00734305">
      <w:pPr>
        <w:numPr>
          <w:ilvl w:val="0"/>
          <w:numId w:val="3"/>
        </w:numPr>
        <w:spacing w:after="0"/>
      </w:pPr>
      <w:r>
        <w:t xml:space="preserve">Decommissioning </w:t>
      </w:r>
    </w:p>
    <w:p w:rsidR="00961CDC" w:rsidRDefault="00734305">
      <w:pPr>
        <w:numPr>
          <w:ilvl w:val="0"/>
          <w:numId w:val="3"/>
        </w:numPr>
      </w:pPr>
      <w:r>
        <w:t xml:space="preserve">End to End Service </w:t>
      </w:r>
    </w:p>
    <w:p w:rsidR="00961CDC" w:rsidRDefault="00734305">
      <w:pPr>
        <w:pBdr>
          <w:top w:val="nil"/>
          <w:left w:val="nil"/>
          <w:bottom w:val="nil"/>
          <w:right w:val="nil"/>
          <w:between w:val="nil"/>
        </w:pBdr>
        <w:spacing w:after="0"/>
      </w:pPr>
      <w:r>
        <w:t>All services will be required to adhere to the re</w:t>
      </w:r>
      <w:r>
        <w:t xml:space="preserve">levant industry </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pPr>
      <w:r>
        <w:t>Attachment 1 – RM6313 Demand Management and Renewables Filter Matrix</w:t>
      </w:r>
    </w:p>
    <w:p w:rsidR="00961CDC" w:rsidRDefault="00961CDC">
      <w:pPr>
        <w:pBdr>
          <w:top w:val="nil"/>
          <w:left w:val="nil"/>
          <w:bottom w:val="nil"/>
          <w:right w:val="nil"/>
          <w:between w:val="nil"/>
        </w:pBdr>
        <w:spacing w:after="0"/>
      </w:pPr>
    </w:p>
    <w:p w:rsidR="00961CDC" w:rsidRDefault="00961CDC">
      <w:pPr>
        <w:pBdr>
          <w:top w:val="nil"/>
          <w:left w:val="nil"/>
          <w:bottom w:val="nil"/>
          <w:right w:val="nil"/>
          <w:between w:val="nil"/>
        </w:pBdr>
        <w:spacing w:after="0"/>
      </w:pPr>
    </w:p>
    <w:p w:rsidR="00961CDC" w:rsidRDefault="00734305">
      <w:pPr>
        <w:numPr>
          <w:ilvl w:val="0"/>
          <w:numId w:val="4"/>
        </w:numPr>
        <w:pBdr>
          <w:top w:val="nil"/>
          <w:left w:val="nil"/>
          <w:bottom w:val="nil"/>
          <w:right w:val="nil"/>
          <w:between w:val="nil"/>
        </w:pBdr>
        <w:spacing w:after="0"/>
        <w:rPr>
          <w:b/>
        </w:rPr>
      </w:pPr>
      <w:r>
        <w:rPr>
          <w:b/>
        </w:rPr>
        <w:t>Additional Capabilities:</w:t>
      </w:r>
    </w:p>
    <w:p w:rsidR="00961CDC" w:rsidRDefault="00734305">
      <w:pPr>
        <w:pBdr>
          <w:top w:val="nil"/>
          <w:left w:val="nil"/>
          <w:bottom w:val="nil"/>
          <w:right w:val="nil"/>
          <w:between w:val="nil"/>
        </w:pBdr>
        <w:spacing w:after="0"/>
      </w:pPr>
      <w:r>
        <w:rPr>
          <w:b/>
        </w:rPr>
        <w:t>Value threshold</w:t>
      </w:r>
      <w:r>
        <w:t xml:space="preserve"> - suppliers can list the contract values that they are able to support projects on. Buyers would like an opportunity to support growth targets and the SME agenda </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pPr>
      <w:r>
        <w:rPr>
          <w:b/>
        </w:rPr>
        <w:t>Security Clearances</w:t>
      </w:r>
      <w:r>
        <w:t xml:space="preserve"> - we would expect suppliers to note the level of security clearance the</w:t>
      </w:r>
      <w:r>
        <w:t>y are holding at the time of tender. This can be updated in Filters at any point as Security Clearances are updated. You don't need any Security Clearance to be on the DPS but Buyers may like the opportunity to shortlist by Security Clearance, where requir</w:t>
      </w:r>
      <w:r>
        <w:t xml:space="preserve">ed for a specific project. </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pPr>
      <w:r>
        <w:rPr>
          <w:b/>
        </w:rPr>
        <w:t xml:space="preserve">Data Security </w:t>
      </w:r>
      <w:r>
        <w:t>-The DPS requirement for entry will be Cyber Essentials. Suppliers will also be required to confirm if they hold Cyber Essentials Plus and/or ISO27001. There are Buyers whose security requirements may mean that th</w:t>
      </w:r>
      <w:r>
        <w:t>ey require you to hold differing levels of Cyber Essentials.</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rPr>
          <w:b/>
        </w:rPr>
      </w:pPr>
      <w:r>
        <w:rPr>
          <w:b/>
        </w:rPr>
        <w:t xml:space="preserve">2.3        Order Contract Flexibility </w:t>
      </w:r>
    </w:p>
    <w:p w:rsidR="00961CDC" w:rsidRDefault="00961CDC">
      <w:pPr>
        <w:pBdr>
          <w:top w:val="nil"/>
          <w:left w:val="nil"/>
          <w:bottom w:val="nil"/>
          <w:right w:val="nil"/>
          <w:between w:val="nil"/>
        </w:pBdr>
        <w:spacing w:after="0"/>
        <w:rPr>
          <w:b/>
        </w:rPr>
      </w:pPr>
    </w:p>
    <w:p w:rsidR="00961CDC" w:rsidRDefault="00734305">
      <w:pPr>
        <w:pBdr>
          <w:top w:val="nil"/>
          <w:left w:val="nil"/>
          <w:bottom w:val="nil"/>
          <w:right w:val="nil"/>
          <w:between w:val="nil"/>
        </w:pBdr>
        <w:spacing w:after="0"/>
      </w:pPr>
      <w:r>
        <w:t>2.3.1      Where the Buyer may have specialist requirements relating to individual projects and/or Service provisions, the Buyer will specify these at the</w:t>
      </w:r>
      <w:r>
        <w:t xml:space="preserve"> Further Competition stage.</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pPr>
      <w:r>
        <w:t>These may include but are not limited to:</w:t>
      </w:r>
      <w:r>
        <w:br/>
      </w:r>
    </w:p>
    <w:p w:rsidR="00961CDC" w:rsidRDefault="00734305">
      <w:pPr>
        <w:numPr>
          <w:ilvl w:val="0"/>
          <w:numId w:val="2"/>
        </w:numPr>
        <w:pBdr>
          <w:top w:val="nil"/>
          <w:left w:val="nil"/>
          <w:bottom w:val="nil"/>
          <w:right w:val="nil"/>
          <w:between w:val="nil"/>
        </w:pBdr>
        <w:spacing w:after="0"/>
      </w:pPr>
      <w:r>
        <w:t>Specific security clearances</w:t>
      </w:r>
    </w:p>
    <w:p w:rsidR="00961CDC" w:rsidRDefault="00734305">
      <w:pPr>
        <w:numPr>
          <w:ilvl w:val="0"/>
          <w:numId w:val="2"/>
        </w:numPr>
        <w:pBdr>
          <w:top w:val="nil"/>
          <w:left w:val="nil"/>
          <w:bottom w:val="nil"/>
          <w:right w:val="nil"/>
          <w:between w:val="nil"/>
        </w:pBdr>
        <w:spacing w:after="0"/>
      </w:pPr>
      <w:r>
        <w:t>Sector specific requirements and or experience</w:t>
      </w:r>
    </w:p>
    <w:p w:rsidR="00961CDC" w:rsidRDefault="00734305">
      <w:pPr>
        <w:numPr>
          <w:ilvl w:val="0"/>
          <w:numId w:val="2"/>
        </w:numPr>
        <w:pBdr>
          <w:top w:val="nil"/>
          <w:left w:val="nil"/>
          <w:bottom w:val="nil"/>
          <w:right w:val="nil"/>
          <w:between w:val="nil"/>
        </w:pBdr>
        <w:spacing w:after="0"/>
      </w:pPr>
      <w:r>
        <w:t>Standards for the services specific to the Buyers call off</w:t>
      </w:r>
    </w:p>
    <w:p w:rsidR="00961CDC" w:rsidRDefault="00734305">
      <w:pPr>
        <w:numPr>
          <w:ilvl w:val="0"/>
          <w:numId w:val="2"/>
        </w:numPr>
        <w:pBdr>
          <w:top w:val="nil"/>
          <w:left w:val="nil"/>
          <w:bottom w:val="nil"/>
          <w:right w:val="nil"/>
          <w:between w:val="nil"/>
        </w:pBdr>
        <w:spacing w:after="0"/>
      </w:pPr>
      <w:r>
        <w:t xml:space="preserve">Additional accreditations </w:t>
      </w:r>
    </w:p>
    <w:p w:rsidR="00961CDC" w:rsidRDefault="00734305">
      <w:pPr>
        <w:pBdr>
          <w:top w:val="nil"/>
          <w:left w:val="nil"/>
          <w:bottom w:val="nil"/>
          <w:right w:val="nil"/>
          <w:between w:val="nil"/>
        </w:pBdr>
        <w:spacing w:after="0"/>
        <w:rPr>
          <w:b/>
        </w:rPr>
      </w:pPr>
      <w:r>
        <w:rPr>
          <w:b/>
        </w:rPr>
        <w:t xml:space="preserve"> </w:t>
      </w:r>
    </w:p>
    <w:p w:rsidR="00961CDC" w:rsidRDefault="00734305">
      <w:pPr>
        <w:pBdr>
          <w:top w:val="nil"/>
          <w:left w:val="nil"/>
          <w:bottom w:val="nil"/>
          <w:right w:val="nil"/>
          <w:between w:val="nil"/>
        </w:pBdr>
        <w:spacing w:after="0"/>
      </w:pPr>
      <w:r>
        <w:t>2.3.2  The Order Contract Conditions used by the Buyer for an Order Contract awarded to a Supplier will be one or more of the following (</w:t>
      </w:r>
      <w:proofErr w:type="spellStart"/>
      <w:proofErr w:type="gramStart"/>
      <w:r>
        <w:t>Non Core</w:t>
      </w:r>
      <w:proofErr w:type="spellEnd"/>
      <w:proofErr w:type="gramEnd"/>
      <w:r>
        <w:t xml:space="preserve"> ) Industry standard forms of construction contract, or a Buyer’s modified version of such standard forms:</w:t>
      </w:r>
      <w:r>
        <w:br/>
      </w:r>
    </w:p>
    <w:p w:rsidR="00961CDC" w:rsidRDefault="00734305">
      <w:pPr>
        <w:pBdr>
          <w:top w:val="nil"/>
          <w:left w:val="nil"/>
          <w:bottom w:val="nil"/>
          <w:right w:val="nil"/>
          <w:between w:val="nil"/>
        </w:pBdr>
        <w:spacing w:after="0"/>
      </w:pPr>
      <w:r>
        <w:t>(a)</w:t>
      </w:r>
      <w:r>
        <w:t xml:space="preserve"> NEC3 </w:t>
      </w:r>
    </w:p>
    <w:p w:rsidR="00961CDC" w:rsidRDefault="00734305">
      <w:pPr>
        <w:pBdr>
          <w:top w:val="nil"/>
          <w:left w:val="nil"/>
          <w:bottom w:val="nil"/>
          <w:right w:val="nil"/>
          <w:between w:val="nil"/>
        </w:pBdr>
        <w:spacing w:after="0"/>
      </w:pPr>
      <w:r>
        <w:t>(b) NEC4</w:t>
      </w:r>
    </w:p>
    <w:p w:rsidR="00961CDC" w:rsidRDefault="00734305">
      <w:pPr>
        <w:pBdr>
          <w:top w:val="nil"/>
          <w:left w:val="nil"/>
          <w:bottom w:val="nil"/>
          <w:right w:val="nil"/>
          <w:between w:val="nil"/>
        </w:pBdr>
        <w:spacing w:after="0"/>
      </w:pPr>
      <w:r>
        <w:t xml:space="preserve">(c) JCT </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pPr>
      <w:r>
        <w:t>2.3.3 To understand the documents required to be incorporated into each of the Order Contracts (Core or Non-Core), please see the corresponding Annex in;</w:t>
      </w:r>
    </w:p>
    <w:p w:rsidR="00961CDC" w:rsidRDefault="00961CDC">
      <w:pPr>
        <w:pBdr>
          <w:top w:val="nil"/>
          <w:left w:val="nil"/>
          <w:bottom w:val="nil"/>
          <w:right w:val="nil"/>
          <w:between w:val="nil"/>
        </w:pBdr>
        <w:spacing w:after="0"/>
      </w:pPr>
    </w:p>
    <w:p w:rsidR="00961CDC" w:rsidRDefault="00734305">
      <w:pPr>
        <w:pBdr>
          <w:top w:val="nil"/>
          <w:left w:val="nil"/>
          <w:bottom w:val="nil"/>
          <w:right w:val="nil"/>
          <w:between w:val="nil"/>
        </w:pBdr>
        <w:spacing w:after="0"/>
        <w:rPr>
          <w:b/>
        </w:rPr>
      </w:pPr>
      <w:r>
        <w:rPr>
          <w:b/>
        </w:rPr>
        <w:t>DPS Schedule 6 - Order Form Template and Order Schedules -</w:t>
      </w:r>
    </w:p>
    <w:p w:rsidR="00961CDC" w:rsidRDefault="00734305">
      <w:pPr>
        <w:pBdr>
          <w:top w:val="nil"/>
          <w:left w:val="nil"/>
          <w:bottom w:val="nil"/>
          <w:right w:val="nil"/>
          <w:between w:val="nil"/>
        </w:pBdr>
        <w:spacing w:after="0"/>
      </w:pPr>
      <w:r>
        <w:t xml:space="preserve">Order Form Part </w:t>
      </w:r>
      <w:r>
        <w:t>A – Public Sector Contract (PSC) Terms</w:t>
      </w:r>
    </w:p>
    <w:p w:rsidR="00961CDC" w:rsidRDefault="00734305">
      <w:pPr>
        <w:pBdr>
          <w:top w:val="nil"/>
          <w:left w:val="nil"/>
          <w:bottom w:val="nil"/>
          <w:right w:val="nil"/>
          <w:between w:val="nil"/>
        </w:pBdr>
        <w:spacing w:after="0"/>
      </w:pPr>
      <w:r>
        <w:t xml:space="preserve">Order Form Part B – Industry Terms </w:t>
      </w:r>
    </w:p>
    <w:p w:rsidR="00961CDC" w:rsidRDefault="00734305">
      <w:pPr>
        <w:pBdr>
          <w:top w:val="nil"/>
          <w:left w:val="nil"/>
          <w:bottom w:val="nil"/>
          <w:right w:val="nil"/>
          <w:between w:val="nil"/>
        </w:pBdr>
        <w:spacing w:after="0"/>
      </w:pPr>
      <w:r>
        <w:t xml:space="preserve">Order Form Part C – Updates to Industry Terms Contracts </w:t>
      </w:r>
    </w:p>
    <w:p w:rsidR="00961CDC" w:rsidRDefault="00961CDC">
      <w:pPr>
        <w:pBdr>
          <w:top w:val="nil"/>
          <w:left w:val="nil"/>
          <w:bottom w:val="nil"/>
          <w:right w:val="nil"/>
          <w:between w:val="nil"/>
        </w:pBdr>
        <w:spacing w:after="0"/>
      </w:pPr>
    </w:p>
    <w:p w:rsidR="00961CDC" w:rsidRDefault="00734305">
      <w:pPr>
        <w:pStyle w:val="Heading2"/>
        <w:numPr>
          <w:ilvl w:val="0"/>
          <w:numId w:val="5"/>
        </w:numPr>
        <w:ind w:left="851" w:hanging="851"/>
        <w:rPr>
          <w:b/>
          <w:color w:val="000000"/>
        </w:rPr>
      </w:pPr>
      <w:bookmarkStart w:id="12" w:name="_heading=h.3rdcrjn" w:colFirst="0" w:colLast="0"/>
      <w:bookmarkEnd w:id="12"/>
      <w:r>
        <w:rPr>
          <w:b/>
          <w:color w:val="000000"/>
        </w:rPr>
        <w:t>Mandatory Service Requirements:</w:t>
      </w:r>
    </w:p>
    <w:p w:rsidR="00961CDC" w:rsidRDefault="00734305">
      <w:r>
        <w:lastRenderedPageBreak/>
        <w:t xml:space="preserve">The main Service requirements governing the RM6313 Demand Management and Renewables DPS can be found in </w:t>
      </w:r>
      <w:r>
        <w:rPr>
          <w:b/>
        </w:rPr>
        <w:t xml:space="preserve">DPS Schedule 1- Specification </w:t>
      </w:r>
    </w:p>
    <w:p w:rsidR="00961CDC" w:rsidRDefault="00961CDC"/>
    <w:p w:rsidR="00961CDC" w:rsidRDefault="00961CDC"/>
    <w:p w:rsidR="00961CDC" w:rsidRDefault="00961CDC"/>
    <w:p w:rsidR="00961CDC" w:rsidRDefault="00734305">
      <w:r>
        <w:br w:type="page"/>
      </w:r>
    </w:p>
    <w:p w:rsidR="00961CDC" w:rsidRDefault="00734305">
      <w:pPr>
        <w:rPr>
          <w:b/>
        </w:rPr>
      </w:pPr>
      <w:bookmarkStart w:id="13" w:name="_heading=h.26in1rg" w:colFirst="0" w:colLast="0"/>
      <w:bookmarkEnd w:id="13"/>
      <w:r>
        <w:rPr>
          <w:b/>
        </w:rPr>
        <w:lastRenderedPageBreak/>
        <w:t>ANNEX A – Glossary</w:t>
      </w:r>
    </w:p>
    <w:tbl>
      <w:tblPr>
        <w:tblStyle w:val="a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6661"/>
      </w:tblGrid>
      <w:tr w:rsidR="00961CDC">
        <w:tc>
          <w:tcPr>
            <w:tcW w:w="2689" w:type="dxa"/>
          </w:tcPr>
          <w:p w:rsidR="00961CDC" w:rsidRDefault="00734305">
            <w:pPr>
              <w:rPr>
                <w:b/>
              </w:rPr>
            </w:pPr>
            <w:r>
              <w:rPr>
                <w:b/>
              </w:rPr>
              <w:t>Term</w:t>
            </w:r>
          </w:p>
        </w:tc>
        <w:tc>
          <w:tcPr>
            <w:tcW w:w="6661" w:type="dxa"/>
          </w:tcPr>
          <w:p w:rsidR="00961CDC" w:rsidRDefault="00734305">
            <w:pPr>
              <w:rPr>
                <w:b/>
              </w:rPr>
            </w:pPr>
            <w:r>
              <w:rPr>
                <w:b/>
              </w:rPr>
              <w:t>Definition</w:t>
            </w:r>
          </w:p>
        </w:tc>
      </w:tr>
      <w:tr w:rsidR="00961CDC">
        <w:tc>
          <w:tcPr>
            <w:tcW w:w="2689" w:type="dxa"/>
          </w:tcPr>
          <w:p w:rsidR="00961CDC" w:rsidRDefault="00734305">
            <w:r>
              <w:t xml:space="preserve">DMR </w:t>
            </w:r>
          </w:p>
        </w:tc>
        <w:tc>
          <w:tcPr>
            <w:tcW w:w="6661" w:type="dxa"/>
          </w:tcPr>
          <w:p w:rsidR="00961CDC" w:rsidRDefault="00734305">
            <w:r>
              <w:t xml:space="preserve">Demand Management and Renewables </w:t>
            </w:r>
          </w:p>
        </w:tc>
      </w:tr>
      <w:tr w:rsidR="00961CDC">
        <w:tc>
          <w:tcPr>
            <w:tcW w:w="2689" w:type="dxa"/>
          </w:tcPr>
          <w:p w:rsidR="00961CDC" w:rsidRDefault="00734305">
            <w:r>
              <w:t xml:space="preserve">NEC </w:t>
            </w:r>
          </w:p>
        </w:tc>
        <w:tc>
          <w:tcPr>
            <w:tcW w:w="6661" w:type="dxa"/>
          </w:tcPr>
          <w:p w:rsidR="00961CDC" w:rsidRDefault="00734305">
            <w:r>
              <w:t>New Engineering Contract</w:t>
            </w:r>
          </w:p>
        </w:tc>
      </w:tr>
      <w:tr w:rsidR="00961CDC">
        <w:tc>
          <w:tcPr>
            <w:tcW w:w="2689" w:type="dxa"/>
          </w:tcPr>
          <w:p w:rsidR="00961CDC" w:rsidRDefault="00734305">
            <w:r>
              <w:t xml:space="preserve">JCT </w:t>
            </w:r>
          </w:p>
        </w:tc>
        <w:tc>
          <w:tcPr>
            <w:tcW w:w="6661" w:type="dxa"/>
          </w:tcPr>
          <w:p w:rsidR="00961CDC" w:rsidRDefault="00734305">
            <w:r>
              <w:t xml:space="preserve">Joint Contracts Tribunal </w:t>
            </w:r>
          </w:p>
        </w:tc>
      </w:tr>
      <w:tr w:rsidR="00961CDC">
        <w:tc>
          <w:tcPr>
            <w:tcW w:w="2689" w:type="dxa"/>
          </w:tcPr>
          <w:p w:rsidR="00961CDC" w:rsidRDefault="00961CDC"/>
        </w:tc>
        <w:tc>
          <w:tcPr>
            <w:tcW w:w="6661" w:type="dxa"/>
          </w:tcPr>
          <w:p w:rsidR="00961CDC" w:rsidRDefault="00961CDC"/>
        </w:tc>
      </w:tr>
      <w:tr w:rsidR="00961CDC">
        <w:tc>
          <w:tcPr>
            <w:tcW w:w="2689" w:type="dxa"/>
          </w:tcPr>
          <w:p w:rsidR="00961CDC" w:rsidRDefault="00961CDC"/>
        </w:tc>
        <w:tc>
          <w:tcPr>
            <w:tcW w:w="6661" w:type="dxa"/>
          </w:tcPr>
          <w:p w:rsidR="00961CDC" w:rsidRDefault="00961CDC"/>
        </w:tc>
      </w:tr>
    </w:tbl>
    <w:p w:rsidR="00961CDC" w:rsidRDefault="00961CDC"/>
    <w:p w:rsidR="00961CDC" w:rsidRDefault="00961CDC"/>
    <w:sectPr w:rsidR="00961CDC">
      <w:headerReference w:type="default" r:id="rId11"/>
      <w:footerReference w:type="default" r:id="rId12"/>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4305" w:rsidRDefault="00734305">
      <w:pPr>
        <w:spacing w:after="0" w:line="240" w:lineRule="auto"/>
      </w:pPr>
      <w:r>
        <w:separator/>
      </w:r>
    </w:p>
  </w:endnote>
  <w:endnote w:type="continuationSeparator" w:id="0">
    <w:p w:rsidR="00734305" w:rsidRDefault="00734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CDC" w:rsidRDefault="00734305">
    <w:pPr>
      <w:pBdr>
        <w:top w:val="nil"/>
        <w:left w:val="nil"/>
        <w:bottom w:val="nil"/>
        <w:right w:val="nil"/>
        <w:between w:val="nil"/>
      </w:pBdr>
      <w:tabs>
        <w:tab w:val="center" w:pos="4513"/>
        <w:tab w:val="right" w:pos="9026"/>
      </w:tabs>
      <w:spacing w:after="0" w:line="240" w:lineRule="auto"/>
      <w:jc w:val="right"/>
      <w:rPr>
        <w:color w:val="000000"/>
        <w:sz w:val="18"/>
        <w:szCs w:val="18"/>
      </w:rPr>
    </w:pPr>
    <w:r>
      <w:rPr>
        <w:color w:val="000000"/>
        <w:sz w:val="18"/>
        <w:szCs w:val="18"/>
      </w:rPr>
      <w:fldChar w:fldCharType="begin"/>
    </w:r>
    <w:r>
      <w:rPr>
        <w:color w:val="000000"/>
        <w:sz w:val="18"/>
        <w:szCs w:val="18"/>
      </w:rPr>
      <w:instrText>PAGE</w:instrText>
    </w:r>
    <w:r w:rsidR="00471363">
      <w:rPr>
        <w:color w:val="000000"/>
        <w:sz w:val="18"/>
        <w:szCs w:val="18"/>
      </w:rPr>
      <w:fldChar w:fldCharType="separate"/>
    </w:r>
    <w:r w:rsidR="00471363">
      <w:rPr>
        <w:noProof/>
        <w:color w:val="000000"/>
        <w:sz w:val="18"/>
        <w:szCs w:val="18"/>
      </w:rPr>
      <w:t>1</w:t>
    </w:r>
    <w:r>
      <w:rPr>
        <w:color w:val="000000"/>
        <w:sz w:val="18"/>
        <w:szCs w:val="18"/>
      </w:rPr>
      <w:fldChar w:fldCharType="end"/>
    </w:r>
  </w:p>
  <w:p w:rsidR="00961CDC" w:rsidRDefault="00734305">
    <w:pPr>
      <w:pBdr>
        <w:top w:val="nil"/>
        <w:left w:val="nil"/>
        <w:bottom w:val="nil"/>
        <w:right w:val="nil"/>
        <w:between w:val="nil"/>
      </w:pBdr>
      <w:tabs>
        <w:tab w:val="center" w:pos="4513"/>
        <w:tab w:val="right" w:pos="9026"/>
      </w:tabs>
      <w:spacing w:after="0" w:line="240" w:lineRule="auto"/>
      <w:rPr>
        <w:color w:val="000000"/>
        <w:sz w:val="16"/>
        <w:szCs w:val="16"/>
      </w:rPr>
    </w:pPr>
    <w:r>
      <w:rPr>
        <w:sz w:val="16"/>
        <w:szCs w:val="16"/>
      </w:rPr>
      <w:t>RM6313</w:t>
    </w:r>
    <w:r>
      <w:rPr>
        <w:color w:val="000000"/>
        <w:sz w:val="16"/>
        <w:szCs w:val="16"/>
      </w:rPr>
      <w:t xml:space="preserve"> – </w:t>
    </w:r>
    <w:r>
      <w:rPr>
        <w:sz w:val="16"/>
        <w:szCs w:val="16"/>
      </w:rPr>
      <w:t>Demand Management and Renewables</w:t>
    </w:r>
    <w:r>
      <w:rPr>
        <w:color w:val="000000"/>
        <w:sz w:val="16"/>
        <w:szCs w:val="16"/>
      </w:rPr>
      <w:t xml:space="preserve"> DPS </w:t>
    </w:r>
  </w:p>
  <w:p w:rsidR="00961CDC" w:rsidRDefault="00734305">
    <w:pPr>
      <w:pBdr>
        <w:top w:val="nil"/>
        <w:left w:val="nil"/>
        <w:bottom w:val="nil"/>
        <w:right w:val="nil"/>
        <w:between w:val="nil"/>
      </w:pBdr>
      <w:tabs>
        <w:tab w:val="center" w:pos="4513"/>
        <w:tab w:val="right" w:pos="9026"/>
      </w:tabs>
      <w:spacing w:after="0" w:line="240" w:lineRule="auto"/>
      <w:rPr>
        <w:color w:val="000000"/>
        <w:sz w:val="16"/>
        <w:szCs w:val="16"/>
      </w:rPr>
    </w:pPr>
    <w:r>
      <w:rPr>
        <w:color w:val="000000"/>
        <w:sz w:val="16"/>
        <w:szCs w:val="16"/>
      </w:rPr>
      <w:t xml:space="preserve">Bid Pack – </w:t>
    </w:r>
    <w:r>
      <w:rPr>
        <w:sz w:val="16"/>
        <w:szCs w:val="16"/>
      </w:rPr>
      <w:t>Buyer</w:t>
    </w:r>
    <w:r>
      <w:rPr>
        <w:color w:val="000000"/>
        <w:sz w:val="16"/>
        <w:szCs w:val="16"/>
      </w:rPr>
      <w:t xml:space="preserve"> Needs</w:t>
    </w:r>
  </w:p>
  <w:p w:rsidR="00961CDC" w:rsidRDefault="00734305">
    <w:pPr>
      <w:pBdr>
        <w:top w:val="nil"/>
        <w:left w:val="nil"/>
        <w:bottom w:val="nil"/>
        <w:right w:val="nil"/>
        <w:between w:val="nil"/>
      </w:pBdr>
      <w:tabs>
        <w:tab w:val="center" w:pos="4513"/>
        <w:tab w:val="right" w:pos="9026"/>
      </w:tabs>
      <w:spacing w:after="0" w:line="240" w:lineRule="auto"/>
      <w:rPr>
        <w:sz w:val="16"/>
        <w:szCs w:val="16"/>
      </w:rPr>
    </w:pPr>
    <w:r>
      <w:rPr>
        <w:color w:val="000000"/>
        <w:sz w:val="16"/>
        <w:szCs w:val="16"/>
      </w:rPr>
      <w:t>V</w:t>
    </w:r>
    <w:r>
      <w:rPr>
        <w:sz w:val="16"/>
        <w:szCs w:val="16"/>
      </w:rPr>
      <w:t>1.</w:t>
    </w:r>
    <w:r w:rsidR="00233078">
      <w:rPr>
        <w:sz w:val="16"/>
        <w:szCs w:val="16"/>
      </w:rPr>
      <w:t>1</w:t>
    </w:r>
  </w:p>
  <w:p w:rsidR="00961CDC" w:rsidRDefault="00734305">
    <w:pPr>
      <w:tabs>
        <w:tab w:val="center" w:pos="4513"/>
        <w:tab w:val="right" w:pos="9026"/>
      </w:tabs>
      <w:spacing w:after="0" w:line="240" w:lineRule="auto"/>
      <w:rPr>
        <w:sz w:val="16"/>
        <w:szCs w:val="16"/>
      </w:rPr>
    </w:pPr>
    <w:r>
      <w:rPr>
        <w:sz w:val="16"/>
        <w:szCs w:val="16"/>
      </w:rPr>
      <w:t>© Crown Copyright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4305" w:rsidRDefault="00734305">
      <w:pPr>
        <w:spacing w:after="0" w:line="240" w:lineRule="auto"/>
      </w:pPr>
      <w:r>
        <w:separator/>
      </w:r>
    </w:p>
  </w:footnote>
  <w:footnote w:type="continuationSeparator" w:id="0">
    <w:p w:rsidR="00734305" w:rsidRDefault="007343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1CDC" w:rsidRDefault="00961CDC">
    <w:pPr>
      <w:pBdr>
        <w:top w:val="nil"/>
        <w:left w:val="nil"/>
        <w:bottom w:val="nil"/>
        <w:right w:val="nil"/>
        <w:between w:val="nil"/>
      </w:pBdr>
      <w:tabs>
        <w:tab w:val="center" w:pos="4513"/>
        <w:tab w:val="right" w:pos="9026"/>
      </w:tabs>
      <w:spacing w:after="0" w:line="240" w:lineRule="auto"/>
      <w:jc w:val="right"/>
      <w:rPr>
        <w:color w:val="000000"/>
      </w:rPr>
    </w:pPr>
  </w:p>
  <w:p w:rsidR="00961CDC" w:rsidRDefault="00961CDC">
    <w:pPr>
      <w:pBdr>
        <w:top w:val="nil"/>
        <w:left w:val="nil"/>
        <w:bottom w:val="nil"/>
        <w:right w:val="nil"/>
        <w:between w:val="nil"/>
      </w:pBdr>
      <w:tabs>
        <w:tab w:val="center" w:pos="4513"/>
        <w:tab w:val="right" w:pos="9026"/>
      </w:tabs>
      <w:spacing w:after="0" w:line="240" w:lineRule="auto"/>
      <w:jc w:val="right"/>
      <w:rPr>
        <w:color w:val="000000"/>
      </w:rPr>
    </w:pPr>
  </w:p>
  <w:p w:rsidR="00961CDC" w:rsidRDefault="00734305">
    <w:pPr>
      <w:pBdr>
        <w:top w:val="nil"/>
        <w:left w:val="nil"/>
        <w:bottom w:val="nil"/>
        <w:right w:val="nil"/>
        <w:between w:val="nil"/>
      </w:pBdr>
      <w:tabs>
        <w:tab w:val="left" w:pos="6840"/>
      </w:tabs>
      <w:spacing w:after="0" w:line="240" w:lineRule="auto"/>
      <w:rPr>
        <w:color w:val="000000"/>
        <w:sz w:val="16"/>
        <w:szCs w:val="16"/>
      </w:rPr>
    </w:pPr>
    <w:r>
      <w:rPr>
        <w:color w:val="00000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C4F8F"/>
    <w:multiLevelType w:val="multilevel"/>
    <w:tmpl w:val="E646B526"/>
    <w:lvl w:ilvl="0">
      <w:start w:val="1"/>
      <w:numFmt w:val="bullet"/>
      <w:lvlText w:val="-"/>
      <w:lvlJc w:val="left"/>
      <w:pPr>
        <w:ind w:left="359" w:hanging="360"/>
      </w:pPr>
      <w:rPr>
        <w:rFonts w:ascii="Arial" w:eastAsia="Arial" w:hAnsi="Arial" w:cs="Arial"/>
      </w:rPr>
    </w:lvl>
    <w:lvl w:ilvl="1">
      <w:start w:val="1"/>
      <w:numFmt w:val="bullet"/>
      <w:lvlText w:val="o"/>
      <w:lvlJc w:val="left"/>
      <w:pPr>
        <w:ind w:left="1079" w:hanging="360"/>
      </w:pPr>
      <w:rPr>
        <w:rFonts w:ascii="Courier New" w:eastAsia="Courier New" w:hAnsi="Courier New" w:cs="Courier New"/>
      </w:rPr>
    </w:lvl>
    <w:lvl w:ilvl="2">
      <w:start w:val="1"/>
      <w:numFmt w:val="bullet"/>
      <w:lvlText w:val="▪"/>
      <w:lvlJc w:val="left"/>
      <w:pPr>
        <w:ind w:left="1799" w:hanging="360"/>
      </w:pPr>
      <w:rPr>
        <w:rFonts w:ascii="Noto Sans Symbols" w:eastAsia="Noto Sans Symbols" w:hAnsi="Noto Sans Symbols" w:cs="Noto Sans Symbols"/>
      </w:rPr>
    </w:lvl>
    <w:lvl w:ilvl="3">
      <w:start w:val="1"/>
      <w:numFmt w:val="bullet"/>
      <w:lvlText w:val="●"/>
      <w:lvlJc w:val="left"/>
      <w:pPr>
        <w:ind w:left="2519" w:hanging="360"/>
      </w:pPr>
      <w:rPr>
        <w:rFonts w:ascii="Noto Sans Symbols" w:eastAsia="Noto Sans Symbols" w:hAnsi="Noto Sans Symbols" w:cs="Noto Sans Symbols"/>
      </w:rPr>
    </w:lvl>
    <w:lvl w:ilvl="4">
      <w:start w:val="1"/>
      <w:numFmt w:val="bullet"/>
      <w:lvlText w:val="o"/>
      <w:lvlJc w:val="left"/>
      <w:pPr>
        <w:ind w:left="3239" w:hanging="360"/>
      </w:pPr>
      <w:rPr>
        <w:rFonts w:ascii="Courier New" w:eastAsia="Courier New" w:hAnsi="Courier New" w:cs="Courier New"/>
      </w:rPr>
    </w:lvl>
    <w:lvl w:ilvl="5">
      <w:start w:val="1"/>
      <w:numFmt w:val="bullet"/>
      <w:lvlText w:val="▪"/>
      <w:lvlJc w:val="left"/>
      <w:pPr>
        <w:ind w:left="3959" w:hanging="360"/>
      </w:pPr>
      <w:rPr>
        <w:rFonts w:ascii="Noto Sans Symbols" w:eastAsia="Noto Sans Symbols" w:hAnsi="Noto Sans Symbols" w:cs="Noto Sans Symbols"/>
      </w:rPr>
    </w:lvl>
    <w:lvl w:ilvl="6">
      <w:start w:val="1"/>
      <w:numFmt w:val="bullet"/>
      <w:lvlText w:val="●"/>
      <w:lvlJc w:val="left"/>
      <w:pPr>
        <w:ind w:left="4679" w:hanging="360"/>
      </w:pPr>
      <w:rPr>
        <w:rFonts w:ascii="Noto Sans Symbols" w:eastAsia="Noto Sans Symbols" w:hAnsi="Noto Sans Symbols" w:cs="Noto Sans Symbols"/>
      </w:rPr>
    </w:lvl>
    <w:lvl w:ilvl="7">
      <w:start w:val="1"/>
      <w:numFmt w:val="bullet"/>
      <w:lvlText w:val="o"/>
      <w:lvlJc w:val="left"/>
      <w:pPr>
        <w:ind w:left="5399" w:hanging="360"/>
      </w:pPr>
      <w:rPr>
        <w:rFonts w:ascii="Courier New" w:eastAsia="Courier New" w:hAnsi="Courier New" w:cs="Courier New"/>
      </w:rPr>
    </w:lvl>
    <w:lvl w:ilvl="8">
      <w:start w:val="1"/>
      <w:numFmt w:val="bullet"/>
      <w:lvlText w:val="▪"/>
      <w:lvlJc w:val="left"/>
      <w:pPr>
        <w:ind w:left="6119" w:hanging="360"/>
      </w:pPr>
      <w:rPr>
        <w:rFonts w:ascii="Noto Sans Symbols" w:eastAsia="Noto Sans Symbols" w:hAnsi="Noto Sans Symbols" w:cs="Noto Sans Symbols"/>
      </w:rPr>
    </w:lvl>
  </w:abstractNum>
  <w:abstractNum w:abstractNumId="1" w15:restartNumberingAfterBreak="0">
    <w:nsid w:val="1142499B"/>
    <w:multiLevelType w:val="multilevel"/>
    <w:tmpl w:val="03A648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0034762"/>
    <w:multiLevelType w:val="multilevel"/>
    <w:tmpl w:val="565461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9519D5"/>
    <w:multiLevelType w:val="multilevel"/>
    <w:tmpl w:val="76BEC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BDD15B8"/>
    <w:multiLevelType w:val="multilevel"/>
    <w:tmpl w:val="CFD0DBA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B570FAA"/>
    <w:multiLevelType w:val="multilevel"/>
    <w:tmpl w:val="3CA4CE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7E2F3353"/>
    <w:multiLevelType w:val="multilevel"/>
    <w:tmpl w:val="528E6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CDC"/>
    <w:rsid w:val="0008135F"/>
    <w:rsid w:val="00233078"/>
    <w:rsid w:val="00471363"/>
    <w:rsid w:val="00734305"/>
    <w:rsid w:val="00810F2A"/>
    <w:rsid w:val="00961C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48A58"/>
  <w15:docId w15:val="{3AC0470C-40D5-4B60-BBB3-CA0EC6E30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0070C0"/>
      <w:sz w:val="28"/>
      <w:szCs w:val="28"/>
    </w:rPr>
  </w:style>
  <w:style w:type="paragraph" w:styleId="Heading2">
    <w:name w:val="heading 2"/>
    <w:basedOn w:val="Normal"/>
    <w:next w:val="Normal"/>
    <w:uiPriority w:val="9"/>
    <w:unhideWhenUsed/>
    <w:qFormat/>
    <w:pPr>
      <w:spacing w:before="160"/>
      <w:ind w:left="1709" w:hanging="432"/>
      <w:contextualSpacing/>
      <w:outlineLvl w:val="1"/>
    </w:pPr>
    <w:rPr>
      <w:color w:val="0070C0"/>
    </w:rPr>
  </w:style>
  <w:style w:type="paragraph" w:styleId="Heading3">
    <w:name w:val="heading 3"/>
    <w:basedOn w:val="Normal"/>
    <w:next w:val="Normal"/>
    <w:uiPriority w:val="9"/>
    <w:semiHidden/>
    <w:unhideWhenUsed/>
    <w:qFormat/>
    <w:pPr>
      <w:keepNext/>
      <w:keepLines/>
      <w:spacing w:before="40" w:after="0"/>
      <w:outlineLvl w:val="2"/>
    </w:pPr>
    <w:rPr>
      <w:rFonts w:ascii="Calibri" w:eastAsia="Calibri" w:hAnsi="Calibri" w:cs="Calibri"/>
      <w:color w:val="1E4D7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0" w:line="240" w:lineRule="auto"/>
      <w:contextualSpacing/>
    </w:pPr>
    <w:rPr>
      <w:color w:val="0070C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B130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0B0"/>
    <w:rPr>
      <w:rFonts w:ascii="Segoe UI" w:hAnsi="Segoe UI" w:cs="Segoe UI"/>
      <w:sz w:val="18"/>
      <w:szCs w:val="18"/>
    </w:rPr>
  </w:style>
  <w:style w:type="paragraph" w:styleId="Header">
    <w:name w:val="header"/>
    <w:basedOn w:val="Normal"/>
    <w:link w:val="HeaderChar"/>
    <w:uiPriority w:val="99"/>
    <w:unhideWhenUsed/>
    <w:rsid w:val="00DE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E30D4"/>
  </w:style>
  <w:style w:type="paragraph" w:styleId="Footer">
    <w:name w:val="footer"/>
    <w:basedOn w:val="Normal"/>
    <w:link w:val="FooterChar"/>
    <w:uiPriority w:val="99"/>
    <w:unhideWhenUsed/>
    <w:rsid w:val="00DE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E30D4"/>
  </w:style>
  <w:style w:type="paragraph" w:styleId="ListParagraph">
    <w:name w:val="List Paragraph"/>
    <w:basedOn w:val="Normal"/>
    <w:uiPriority w:val="34"/>
    <w:qFormat/>
    <w:rsid w:val="00EE35E3"/>
    <w:pPr>
      <w:ind w:left="720"/>
      <w:contextualSpacing/>
    </w:pPr>
  </w:style>
  <w:style w:type="paragraph" w:styleId="CommentSubject">
    <w:name w:val="annotation subject"/>
    <w:basedOn w:val="CommentText"/>
    <w:next w:val="CommentText"/>
    <w:link w:val="CommentSubjectChar"/>
    <w:uiPriority w:val="99"/>
    <w:semiHidden/>
    <w:unhideWhenUsed/>
    <w:rsid w:val="0072422B"/>
    <w:rPr>
      <w:b/>
      <w:bCs/>
    </w:rPr>
  </w:style>
  <w:style w:type="character" w:customStyle="1" w:styleId="CommentSubjectChar">
    <w:name w:val="Comment Subject Char"/>
    <w:basedOn w:val="CommentTextChar"/>
    <w:link w:val="CommentSubject"/>
    <w:uiPriority w:val="99"/>
    <w:semiHidden/>
    <w:rsid w:val="0072422B"/>
    <w:rPr>
      <w:b/>
      <w:bCs/>
      <w:sz w:val="20"/>
      <w:szCs w:val="20"/>
    </w:rPr>
  </w:style>
  <w:style w:type="table" w:styleId="TableGrid">
    <w:name w:val="Table Grid"/>
    <w:basedOn w:val="TableNormal"/>
    <w:uiPriority w:val="39"/>
    <w:rsid w:val="00DB1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0A92"/>
    <w:rPr>
      <w:color w:val="0000FF" w:themeColor="hyperlink"/>
      <w:u w:val="single"/>
    </w:rPr>
  </w:style>
  <w:style w:type="paragraph" w:styleId="TOC1">
    <w:name w:val="toc 1"/>
    <w:basedOn w:val="Normal"/>
    <w:next w:val="Normal"/>
    <w:autoRedefine/>
    <w:uiPriority w:val="39"/>
    <w:unhideWhenUsed/>
    <w:rsid w:val="00575F1F"/>
    <w:pPr>
      <w:spacing w:after="100"/>
    </w:pPr>
  </w:style>
  <w:style w:type="paragraph" w:styleId="TOC2">
    <w:name w:val="toc 2"/>
    <w:basedOn w:val="Normal"/>
    <w:next w:val="Normal"/>
    <w:autoRedefine/>
    <w:uiPriority w:val="39"/>
    <w:unhideWhenUsed/>
    <w:rsid w:val="00A6022E"/>
    <w:pPr>
      <w:tabs>
        <w:tab w:val="left" w:pos="426"/>
        <w:tab w:val="right" w:leader="dot" w:pos="9350"/>
      </w:tabs>
      <w:spacing w:after="100"/>
    </w:pPr>
  </w:style>
  <w:style w:type="character" w:styleId="FollowedHyperlink">
    <w:name w:val="FollowedHyperlink"/>
    <w:basedOn w:val="DefaultParagraphFont"/>
    <w:uiPriority w:val="99"/>
    <w:semiHidden/>
    <w:unhideWhenUsed/>
    <w:rsid w:val="00CB428F"/>
    <w:rPr>
      <w:color w:val="800080" w:themeColor="followedHyperlink"/>
      <w:u w:val="single"/>
    </w:rPr>
  </w:style>
  <w:style w:type="paragraph" w:styleId="Revision">
    <w:name w:val="Revision"/>
    <w:hidden/>
    <w:uiPriority w:val="99"/>
    <w:semiHidden/>
    <w:rsid w:val="00B57CAF"/>
    <w:pPr>
      <w:spacing w:after="0" w:line="240" w:lineRule="auto"/>
    </w:pPr>
  </w:style>
  <w:style w:type="table" w:customStyle="1" w:styleId="a7">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8">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9">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a">
    <w:basedOn w:val="TableNormal"/>
    <w:pPr>
      <w:spacing w:after="0"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egislation.gov.uk/uksi/2015/102/contents/made"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8QV6UZLPxbtF2KVo3mWNksIYSg==">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1578</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Dominique Volante</dc:creator>
  <cp:lastModifiedBy>Gavin Scott</cp:lastModifiedBy>
  <cp:revision>2</cp:revision>
  <dcterms:created xsi:type="dcterms:W3CDTF">2022-11-02T15:53:00Z</dcterms:created>
  <dcterms:modified xsi:type="dcterms:W3CDTF">2022-11-02T15:53:00Z</dcterms:modified>
</cp:coreProperties>
</file>